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zh-CN"/>
        </w:rPr>
      </w:pPr>
      <w:bookmarkStart w:id="0" w:name="_Ref494746248"/>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R1-2005429</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channels other than PUSCH and PUCCH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.2</w:t>
      </w:r>
      <w:r>
        <w:rPr>
          <w:rFonts w:hint="eastAsia" w:ascii="Arial" w:hAnsi="Arial"/>
          <w:b/>
          <w:lang w:val="en-US"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bCs/>
          <w:lang w:eastAsia="zh-CN"/>
        </w:rPr>
      </w:pPr>
      <w:r>
        <w:rPr>
          <w:rFonts w:hint="eastAsia"/>
          <w:lang w:eastAsia="zh-CN"/>
        </w:rPr>
        <w:t xml:space="preserve">In the RAN plenary #86 meeting, a new SID on NR coverage enhancement was approved [1]. </w:t>
      </w:r>
      <w:r>
        <w:rPr>
          <w:rFonts w:hint="eastAsia"/>
          <w:bCs/>
          <w:lang w:val="en-US" w:eastAsia="zh-CN"/>
        </w:rPr>
        <w:t xml:space="preserve">One </w:t>
      </w:r>
      <w:r>
        <w:rPr>
          <w:bCs/>
        </w:rPr>
        <w:t xml:space="preserve">objective of this study item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p>
    <w:p>
      <w:pPr>
        <w:bidi w:val="0"/>
        <w:rPr>
          <w:rFonts w:hint="default"/>
          <w:lang w:val="en-US" w:eastAsia="zh-CN"/>
        </w:rPr>
      </w:pPr>
      <w:r>
        <w:rPr>
          <w:rFonts w:hint="eastAsia"/>
          <w:lang w:eastAsia="zh-CN"/>
        </w:rPr>
        <w:t>The baseline coverage performance for both UL and DL based on link-level simulation is provided in our companion contribution [2]~[3]. In this contribution, we discuss the potential techniques for coverage enhancements</w:t>
      </w:r>
      <w:r>
        <w:rPr>
          <w:rFonts w:hint="eastAsia"/>
          <w:lang w:val="en-US" w:eastAsia="zh-CN"/>
        </w:rPr>
        <w:t xml:space="preserve"> </w:t>
      </w:r>
      <w:r>
        <w:rPr>
          <w:rFonts w:hint="eastAsia"/>
          <w:lang w:eastAsia="zh-CN"/>
        </w:rPr>
        <w:t>for channels other than PUSCH and PUCCH</w:t>
      </w:r>
      <w:r>
        <w:rPr>
          <w:rFonts w:hint="eastAsia"/>
          <w:lang w:val="en-US" w:eastAsia="zh-CN"/>
        </w:rPr>
        <w:t>.</w:t>
      </w:r>
    </w:p>
    <w:p>
      <w:pPr>
        <w:pStyle w:val="2"/>
        <w:bidi w:val="0"/>
        <w:rPr>
          <w:lang w:eastAsia="zh-CN"/>
        </w:rPr>
      </w:pPr>
      <w:r>
        <w:rPr>
          <w:rFonts w:hint="eastAsia"/>
          <w:lang w:val="en-US" w:eastAsia="zh-CN"/>
        </w:rPr>
        <w:t xml:space="preserve">Potential </w:t>
      </w:r>
      <w:r>
        <w:rPr>
          <w:rFonts w:hint="eastAsia"/>
          <w:lang w:eastAsia="zh-CN"/>
        </w:rPr>
        <w:t xml:space="preserve">techniques </w:t>
      </w:r>
      <w:r>
        <w:rPr>
          <w:rFonts w:hint="eastAsia"/>
          <w:lang w:val="en-US" w:eastAsia="zh-CN"/>
        </w:rPr>
        <w:t>for broadcast PDCCH</w:t>
      </w:r>
    </w:p>
    <w:p>
      <w:pPr>
        <w:rPr>
          <w:highlight w:val="none"/>
          <w:lang w:eastAsia="zh-CN"/>
        </w:rPr>
      </w:pPr>
      <w:r>
        <w:rPr>
          <w:rFonts w:hint="eastAsia"/>
          <w:highlight w:val="none"/>
          <w:lang w:eastAsia="zh-CN"/>
        </w:rPr>
        <w:t xml:space="preserve">Based on the </w:t>
      </w:r>
      <w:r>
        <w:rPr>
          <w:rFonts w:hint="eastAsia"/>
          <w:highlight w:val="none"/>
          <w:lang w:val="en-US" w:eastAsia="zh-CN"/>
        </w:rPr>
        <w:t xml:space="preserve">evaluation </w:t>
      </w:r>
      <w:r>
        <w:rPr>
          <w:rFonts w:hint="eastAsia"/>
          <w:highlight w:val="none"/>
          <w:lang w:eastAsia="zh-CN"/>
        </w:rPr>
        <w:t xml:space="preserve">in </w:t>
      </w:r>
      <w:r>
        <w:rPr>
          <w:rFonts w:hint="eastAsia"/>
          <w:highlight w:val="none"/>
          <w:lang w:val="en-US" w:eastAsia="zh-CN"/>
        </w:rPr>
        <w:t>[2][3]</w:t>
      </w:r>
      <w:r>
        <w:rPr>
          <w:rFonts w:hint="eastAsia"/>
          <w:highlight w:val="none"/>
          <w:lang w:eastAsia="zh-CN"/>
        </w:rPr>
        <w:t>,</w:t>
      </w:r>
      <w:r>
        <w:rPr>
          <w:rFonts w:hint="eastAsia"/>
          <w:highlight w:val="none"/>
          <w:lang w:eastAsia="zh-CN"/>
        </w:rPr>
        <w:t xml:space="preserve"> there still exists some scenarios that needs coverage enhancement for </w:t>
      </w:r>
      <w:r>
        <w:rPr>
          <w:rFonts w:hint="eastAsia"/>
          <w:highlight w:val="none"/>
          <w:lang w:val="en-US" w:eastAsia="zh-CN"/>
        </w:rPr>
        <w:t xml:space="preserve">unicast and broadcast </w:t>
      </w:r>
      <w:r>
        <w:rPr>
          <w:rFonts w:hint="eastAsia"/>
          <w:highlight w:val="none"/>
          <w:lang w:eastAsia="zh-CN"/>
        </w:rPr>
        <w:t>PDCCH. Therefore, in this section, we give some potential techniques for PDCCH coverage enhancement.</w:t>
      </w:r>
    </w:p>
    <w:p>
      <w:pPr>
        <w:pStyle w:val="3"/>
        <w:bidi w:val="0"/>
        <w:rPr>
          <w:rFonts w:hint="eastAsia"/>
          <w:lang w:val="en-US" w:eastAsia="zh-CN"/>
        </w:rPr>
      </w:pPr>
      <w:r>
        <w:rPr>
          <w:rFonts w:hint="eastAsia"/>
          <w:lang w:val="en-US" w:eastAsia="zh-CN"/>
        </w:rPr>
        <w:t>Compact DCI</w:t>
      </w:r>
    </w:p>
    <w:p>
      <w:pPr>
        <w:rPr>
          <w:rFonts w:hint="default"/>
          <w:lang w:val="en-US" w:eastAsia="zh-CN"/>
        </w:rPr>
      </w:pPr>
      <w:r>
        <w:rPr>
          <w:rFonts w:hint="eastAsia"/>
          <w:lang w:eastAsia="zh-CN"/>
        </w:rPr>
        <w:t>In Rel-16 URLLC, DCI format 0_2/1_2 is introduced which can be used for reliability impro</w:t>
      </w:r>
      <w:r>
        <w:rPr>
          <w:lang w:eastAsia="zh-CN"/>
        </w:rPr>
        <w:t>ve</w:t>
      </w:r>
      <w:r>
        <w:rPr>
          <w:rFonts w:hint="eastAsia"/>
          <w:lang w:eastAsia="zh-CN"/>
        </w:rPr>
        <w:t xml:space="preserve">ment by configuring 10~16 bits size reduction compared with fallback DCI. </w:t>
      </w:r>
      <w:r>
        <w:rPr>
          <w:rFonts w:hint="eastAsia"/>
          <w:lang w:val="en-US" w:eastAsia="zh-CN"/>
        </w:rPr>
        <w:t xml:space="preserve">According to the evaluation in [4], about 1dB gain can be achieved </w:t>
      </w:r>
      <w:r>
        <w:rPr>
          <w:rFonts w:hint="eastAsia"/>
          <w:kern w:val="2"/>
          <w:lang w:eastAsia="zh-CN"/>
        </w:rPr>
        <w:t>for AL=16</w:t>
      </w:r>
      <w:r>
        <w:rPr>
          <w:kern w:val="2"/>
          <w:lang w:eastAsia="zh-CN"/>
        </w:rPr>
        <w:t xml:space="preserve"> </w:t>
      </w:r>
      <w:r>
        <w:rPr>
          <w:rFonts w:hint="eastAsia"/>
          <w:kern w:val="2"/>
          <w:lang w:val="en-US" w:eastAsia="zh-CN"/>
        </w:rPr>
        <w:t xml:space="preserve">at </w:t>
      </w:r>
      <w:r>
        <w:rPr>
          <w:kern w:val="2"/>
          <w:lang w:eastAsia="zh-CN"/>
        </w:rPr>
        <w:t>1e-5 or 1e-6 target BLER</w:t>
      </w:r>
      <w:r>
        <w:rPr>
          <w:rFonts w:hint="eastAsia"/>
          <w:kern w:val="2"/>
          <w:lang w:val="en-US" w:eastAsia="zh-CN"/>
        </w:rPr>
        <w:t>. We find similar observation in our contribution [5] at 1e-2 target BLER. Thus</w:t>
      </w:r>
      <w:r>
        <w:rPr>
          <w:rFonts w:hint="eastAsia"/>
          <w:lang w:val="en-US" w:eastAsia="zh-CN"/>
        </w:rPr>
        <w:t xml:space="preserve">, </w:t>
      </w:r>
      <w:r>
        <w:rPr>
          <w:rFonts w:hint="eastAsia"/>
          <w:lang w:eastAsia="zh-CN"/>
        </w:rPr>
        <w:t xml:space="preserve">compact DCI </w:t>
      </w:r>
      <w:r>
        <w:rPr>
          <w:rFonts w:hint="eastAsia"/>
          <w:lang w:val="en-US" w:eastAsia="zh-CN"/>
        </w:rPr>
        <w:t xml:space="preserve">which </w:t>
      </w:r>
      <w:r>
        <w:rPr>
          <w:rFonts w:hint="eastAsia"/>
          <w:lang w:eastAsia="zh-CN"/>
        </w:rPr>
        <w:t xml:space="preserve">has been already </w:t>
      </w:r>
      <w:r>
        <w:rPr>
          <w:rFonts w:hint="eastAsia"/>
          <w:lang w:val="en-US" w:eastAsia="zh-CN"/>
        </w:rPr>
        <w:t xml:space="preserve">proved beneficial for unicast PDCCH </w:t>
      </w:r>
      <w:r>
        <w:rPr>
          <w:rFonts w:hint="eastAsia"/>
          <w:lang w:eastAsia="zh-CN"/>
        </w:rPr>
        <w:t xml:space="preserve">in Rel-16 can be </w:t>
      </w:r>
      <w:r>
        <w:rPr>
          <w:rFonts w:hint="eastAsia"/>
          <w:lang w:val="en-US" w:eastAsia="zh-CN"/>
        </w:rPr>
        <w:t xml:space="preserve">considered for broadcast PDCCH </w:t>
      </w:r>
      <w:r>
        <w:rPr>
          <w:rFonts w:hint="eastAsia"/>
          <w:lang w:eastAsia="zh-CN"/>
        </w:rPr>
        <w:t>for Rel-17 coverage enhancement.</w:t>
      </w:r>
      <w:r>
        <w:rPr>
          <w:rFonts w:hint="eastAsia"/>
          <w:lang w:val="en-US" w:eastAsia="zh-CN"/>
        </w:rPr>
        <w:t xml:space="preserve"> In other words, fallback DCI used for broadcast PDCCH can be further compressed.</w:t>
      </w:r>
    </w:p>
    <w:p>
      <w:pPr>
        <w:rPr>
          <w:rFonts w:hint="eastAsia"/>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rFonts w:hint="eastAsia"/>
          <w:i/>
          <w:iCs/>
          <w:lang w:val="en-US" w:eastAsia="zh-CN"/>
        </w:rPr>
        <w:t xml:space="preserve">Study compact fallback DCI </w:t>
      </w:r>
      <w:r>
        <w:rPr>
          <w:rFonts w:hint="eastAsia"/>
          <w:i/>
          <w:iCs/>
          <w:lang w:eastAsia="zh-CN"/>
        </w:rPr>
        <w:t xml:space="preserve">for </w:t>
      </w:r>
      <w:r>
        <w:rPr>
          <w:rFonts w:hint="eastAsia"/>
          <w:i/>
          <w:iCs/>
          <w:lang w:val="en-US" w:eastAsia="zh-CN"/>
        </w:rPr>
        <w:t>broadcast PDCCH</w:t>
      </w:r>
      <w:r>
        <w:rPr>
          <w:rFonts w:hint="eastAsia"/>
          <w:i/>
          <w:iCs/>
          <w:lang w:eastAsia="zh-CN"/>
        </w:rPr>
        <w:t xml:space="preserve"> coverage enhancement.</w:t>
      </w:r>
    </w:p>
    <w:p>
      <w:pPr>
        <w:pStyle w:val="3"/>
        <w:bidi w:val="0"/>
        <w:rPr>
          <w:rFonts w:hint="eastAsia"/>
          <w:lang w:val="en-US" w:eastAsia="zh-CN"/>
        </w:rPr>
      </w:pPr>
      <w:r>
        <w:rPr>
          <w:rFonts w:hint="eastAsia"/>
          <w:lang w:val="en-US" w:eastAsia="zh-CN"/>
        </w:rPr>
        <w:t>PDCCH repetition</w:t>
      </w:r>
    </w:p>
    <w:p>
      <w:pPr>
        <w:pStyle w:val="32"/>
        <w:spacing w:afterLines="50"/>
        <w:rPr>
          <w:rFonts w:hint="eastAsia"/>
          <w:lang w:val="en-US" w:eastAsia="zh-CN"/>
        </w:rPr>
      </w:pPr>
      <w:r>
        <w:rPr>
          <w:rFonts w:hint="eastAsia"/>
          <w:sz w:val="20"/>
          <w:szCs w:val="20"/>
          <w:lang w:eastAsia="zh-CN"/>
        </w:rPr>
        <w:t>Repetition is a straightforward and powerful way to improve coverage performance. It can also applied to PDCCH</w:t>
      </w:r>
      <w:r>
        <w:rPr>
          <w:rFonts w:hint="eastAsia"/>
          <w:sz w:val="20"/>
          <w:szCs w:val="20"/>
          <w:lang w:val="en-US" w:eastAsia="zh-CN"/>
        </w:rPr>
        <w:t xml:space="preserve"> enhancement</w:t>
      </w:r>
      <w:r>
        <w:rPr>
          <w:rFonts w:hint="eastAsia"/>
          <w:sz w:val="20"/>
          <w:szCs w:val="20"/>
          <w:lang w:eastAsia="zh-CN"/>
        </w:rPr>
        <w:t xml:space="preserve">. Specifically, there </w:t>
      </w:r>
      <w:r>
        <w:rPr>
          <w:rFonts w:hint="eastAsia"/>
          <w:sz w:val="20"/>
          <w:szCs w:val="20"/>
          <w:lang w:val="en-US" w:eastAsia="zh-CN"/>
        </w:rPr>
        <w:t>are</w:t>
      </w:r>
      <w:r>
        <w:rPr>
          <w:rFonts w:hint="eastAsia"/>
          <w:sz w:val="20"/>
          <w:szCs w:val="20"/>
          <w:lang w:eastAsia="zh-CN"/>
        </w:rPr>
        <w:t xml:space="preserve"> different schemes for PDCCH repetition. One alternative is that PDCCH repetitions are</w:t>
      </w:r>
      <w:r>
        <w:rPr>
          <w:rFonts w:hint="eastAsia"/>
          <w:sz w:val="20"/>
          <w:szCs w:val="20"/>
          <w:lang w:val="en-US" w:eastAsia="zh-CN"/>
        </w:rPr>
        <w:t xml:space="preserve"> </w:t>
      </w:r>
      <w:r>
        <w:rPr>
          <w:rFonts w:hint="eastAsia"/>
          <w:sz w:val="20"/>
          <w:szCs w:val="20"/>
          <w:lang w:eastAsia="zh-CN"/>
        </w:rPr>
        <w:t xml:space="preserve">on different CORESETs in </w:t>
      </w:r>
      <w:r>
        <w:rPr>
          <w:rFonts w:hint="eastAsia"/>
          <w:sz w:val="20"/>
          <w:szCs w:val="20"/>
          <w:lang w:val="en-US" w:eastAsia="zh-CN"/>
        </w:rPr>
        <w:t xml:space="preserve">the </w:t>
      </w:r>
      <w:r>
        <w:rPr>
          <w:rFonts w:hint="eastAsia"/>
          <w:sz w:val="20"/>
          <w:szCs w:val="20"/>
          <w:lang w:eastAsia="zh-CN"/>
        </w:rPr>
        <w:t>frequency domain</w:t>
      </w:r>
      <w:r>
        <w:rPr>
          <w:rFonts w:hint="eastAsia"/>
          <w:sz w:val="20"/>
          <w:szCs w:val="20"/>
          <w:lang w:val="en-US" w:eastAsia="zh-CN"/>
        </w:rPr>
        <w:t xml:space="preserve"> while within the same PDCCH monitoring occasion This is beneficial</w:t>
      </w:r>
      <w:r>
        <w:rPr>
          <w:rFonts w:hint="eastAsia"/>
          <w:sz w:val="20"/>
          <w:szCs w:val="20"/>
          <w:lang w:eastAsia="zh-CN"/>
        </w:rPr>
        <w:t xml:space="preserve"> from </w:t>
      </w:r>
      <w:r>
        <w:rPr>
          <w:sz w:val="20"/>
          <w:szCs w:val="20"/>
          <w:lang w:eastAsia="zh-CN"/>
        </w:rPr>
        <w:t xml:space="preserve">the </w:t>
      </w:r>
      <w:r>
        <w:rPr>
          <w:rFonts w:hint="eastAsia"/>
          <w:sz w:val="20"/>
          <w:szCs w:val="20"/>
          <w:lang w:eastAsia="zh-CN"/>
        </w:rPr>
        <w:t>low latency</w:t>
      </w:r>
      <w:r>
        <w:rPr>
          <w:sz w:val="20"/>
          <w:szCs w:val="20"/>
          <w:lang w:eastAsia="zh-CN"/>
        </w:rPr>
        <w:t xml:space="preserve"> point of</w:t>
      </w:r>
      <w:r>
        <w:rPr>
          <w:rFonts w:hint="eastAsia"/>
          <w:sz w:val="20"/>
          <w:szCs w:val="20"/>
          <w:lang w:eastAsia="zh-CN"/>
        </w:rPr>
        <w:t xml:space="preserve"> view but difficult for the UE without </w:t>
      </w:r>
      <w:r>
        <w:rPr>
          <w:sz w:val="20"/>
          <w:szCs w:val="20"/>
          <w:lang w:eastAsia="zh-CN"/>
        </w:rPr>
        <w:t xml:space="preserve">the </w:t>
      </w:r>
      <w:r>
        <w:rPr>
          <w:rFonts w:hint="eastAsia"/>
          <w:sz w:val="20"/>
          <w:szCs w:val="20"/>
          <w:lang w:eastAsia="zh-CN"/>
        </w:rPr>
        <w:t xml:space="preserve">capability of </w:t>
      </w:r>
      <w:r>
        <w:rPr>
          <w:sz w:val="20"/>
          <w:szCs w:val="20"/>
          <w:lang w:eastAsia="zh-CN"/>
        </w:rPr>
        <w:t xml:space="preserve">a </w:t>
      </w:r>
      <w:r>
        <w:rPr>
          <w:rFonts w:hint="eastAsia"/>
          <w:sz w:val="20"/>
          <w:szCs w:val="20"/>
          <w:lang w:eastAsia="zh-CN"/>
        </w:rPr>
        <w:t xml:space="preserve">wide-BWP. Another way is PDCCH repetitions are across multiple PDCCH monitoring occasions of the same search space and CORESET, which is </w:t>
      </w:r>
      <w:r>
        <w:rPr>
          <w:sz w:val="20"/>
          <w:szCs w:val="20"/>
          <w:lang w:eastAsia="zh-CN"/>
        </w:rPr>
        <w:t>beneficial</w:t>
      </w:r>
      <w:r>
        <w:rPr>
          <w:rFonts w:hint="eastAsia"/>
          <w:sz w:val="20"/>
          <w:szCs w:val="20"/>
          <w:lang w:eastAsia="zh-CN"/>
        </w:rPr>
        <w:t xml:space="preserve"> for multiplexing in frequency domain for multiple users at the same time but lead to more latency for each UE. In our view, both alternatives can be further considered for coverage enhancement.</w:t>
      </w:r>
      <w:r>
        <w:rPr>
          <w:rFonts w:hint="eastAsia"/>
          <w:lang w:val="en-US" w:eastAsia="zh-CN"/>
        </w:rPr>
        <w:t xml:space="preserve"> </w:t>
      </w:r>
    </w:p>
    <w:p>
      <w:pPr>
        <w:pStyle w:val="32"/>
        <w:spacing w:afterLines="50"/>
        <w:rPr>
          <w:rFonts w:hint="default"/>
          <w:highlight w:val="none"/>
          <w:lang w:val="en-US" w:eastAsia="zh-CN"/>
        </w:rPr>
      </w:pPr>
      <w:r>
        <w:rPr>
          <w:rFonts w:hint="eastAsia"/>
          <w:sz w:val="20"/>
          <w:szCs w:val="20"/>
          <w:highlight w:val="none"/>
          <w:lang w:val="en-US" w:eastAsia="zh-CN"/>
        </w:rPr>
        <w:t>As for UE behavior</w:t>
      </w:r>
      <w:r>
        <w:rPr>
          <w:rFonts w:hint="eastAsia"/>
          <w:sz w:val="20"/>
          <w:szCs w:val="20"/>
          <w:highlight w:val="none"/>
          <w:lang w:val="en-US" w:eastAsia="zh-CN"/>
        </w:rPr>
        <w:t>, PDCCH r</w:t>
      </w:r>
      <w:r>
        <w:rPr>
          <w:rFonts w:hint="eastAsia"/>
          <w:sz w:val="20"/>
          <w:szCs w:val="20"/>
          <w:highlight w:val="none"/>
          <w:lang w:eastAsia="zh-CN"/>
        </w:rPr>
        <w:t>epetition</w:t>
      </w:r>
      <w:r>
        <w:rPr>
          <w:rFonts w:hint="eastAsia"/>
          <w:sz w:val="20"/>
          <w:szCs w:val="20"/>
          <w:highlight w:val="none"/>
          <w:lang w:val="en-US" w:eastAsia="zh-CN"/>
        </w:rPr>
        <w:t xml:space="preserve"> with separately decoding, mean</w:t>
      </w:r>
      <w:r>
        <w:rPr>
          <w:rFonts w:hint="eastAsia"/>
          <w:sz w:val="20"/>
          <w:szCs w:val="20"/>
          <w:highlight w:val="none"/>
          <w:lang w:val="en-US" w:eastAsia="zh-CN"/>
        </w:rPr>
        <w:t>ing</w:t>
      </w:r>
      <w:r>
        <w:rPr>
          <w:rFonts w:hint="eastAsia"/>
          <w:sz w:val="20"/>
          <w:szCs w:val="20"/>
          <w:highlight w:val="none"/>
          <w:lang w:val="en-US" w:eastAsia="zh-CN"/>
        </w:rPr>
        <w:t xml:space="preserve"> without combination, can be </w:t>
      </w:r>
      <w:r>
        <w:rPr>
          <w:rFonts w:hint="eastAsia"/>
          <w:sz w:val="20"/>
          <w:szCs w:val="20"/>
          <w:highlight w:val="none"/>
          <w:lang w:val="en-US" w:eastAsia="zh-CN"/>
        </w:rPr>
        <w:t xml:space="preserve">considered as one implementation way. This is similar like </w:t>
      </w:r>
      <w:r>
        <w:rPr>
          <w:rFonts w:hint="eastAsia"/>
          <w:sz w:val="20"/>
          <w:szCs w:val="20"/>
          <w:highlight w:val="none"/>
          <w:lang w:val="en-US" w:eastAsia="zh-CN"/>
        </w:rPr>
        <w:t xml:space="preserve">scheduling </w:t>
      </w:r>
      <w:r>
        <w:rPr>
          <w:rFonts w:hint="eastAsia"/>
          <w:sz w:val="20"/>
          <w:szCs w:val="20"/>
          <w:highlight w:val="none"/>
          <w:lang w:val="en-US" w:eastAsia="zh-CN"/>
        </w:rPr>
        <w:t xml:space="preserve">multiple </w:t>
      </w:r>
      <w:r>
        <w:rPr>
          <w:rFonts w:hint="eastAsia"/>
          <w:sz w:val="20"/>
          <w:szCs w:val="20"/>
          <w:highlight w:val="none"/>
          <w:lang w:val="en-US" w:eastAsia="zh-CN"/>
        </w:rPr>
        <w:t xml:space="preserve">Paging </w:t>
      </w:r>
      <w:r>
        <w:rPr>
          <w:rFonts w:hint="eastAsia"/>
          <w:sz w:val="20"/>
          <w:szCs w:val="20"/>
          <w:highlight w:val="none"/>
          <w:lang w:val="en-US" w:eastAsia="zh-CN"/>
        </w:rPr>
        <w:t xml:space="preserve">transmissions on different monitoring occasions across multiple slots </w:t>
      </w:r>
      <w:r>
        <w:rPr>
          <w:rFonts w:hint="eastAsia"/>
          <w:sz w:val="20"/>
          <w:szCs w:val="20"/>
          <w:highlight w:val="none"/>
          <w:lang w:val="en-US" w:eastAsia="zh-CN"/>
        </w:rPr>
        <w:t>by configur</w:t>
      </w:r>
      <w:r>
        <w:rPr>
          <w:rFonts w:hint="eastAsia"/>
          <w:sz w:val="20"/>
          <w:szCs w:val="20"/>
          <w:highlight w:val="none"/>
          <w:lang w:val="en-US" w:eastAsia="zh-CN"/>
        </w:rPr>
        <w:t>ing</w:t>
      </w:r>
      <w:r>
        <w:rPr>
          <w:rFonts w:hint="eastAsia"/>
          <w:sz w:val="20"/>
          <w:szCs w:val="20"/>
          <w:highlight w:val="none"/>
          <w:lang w:val="en-US" w:eastAsia="zh-CN"/>
        </w:rPr>
        <w:t xml:space="preserve"> </w:t>
      </w:r>
      <w:r>
        <w:rPr>
          <w:rFonts w:hint="eastAsia"/>
          <w:sz w:val="20"/>
          <w:szCs w:val="20"/>
          <w:highlight w:val="none"/>
          <w:lang w:val="en-US" w:eastAsia="zh-CN"/>
        </w:rPr>
        <w:t>parameter</w:t>
      </w:r>
      <w:r>
        <w:rPr>
          <w:rFonts w:hint="eastAsia"/>
          <w:sz w:val="20"/>
          <w:szCs w:val="20"/>
          <w:highlight w:val="none"/>
          <w:lang w:val="en-US" w:eastAsia="zh-CN"/>
        </w:rPr>
        <w:t xml:space="preserve"> </w:t>
      </w:r>
      <w:r>
        <w:rPr>
          <w:rFonts w:hint="default"/>
          <w:sz w:val="20"/>
          <w:szCs w:val="20"/>
          <w:highlight w:val="none"/>
          <w:lang w:val="en-US" w:eastAsia="zh-CN"/>
        </w:rPr>
        <w:t>‘</w:t>
      </w:r>
      <w:r>
        <w:rPr>
          <w:rFonts w:hint="eastAsia"/>
          <w:i/>
          <w:iCs/>
          <w:sz w:val="20"/>
          <w:szCs w:val="20"/>
          <w:highlight w:val="none"/>
          <w:lang w:val="en-US" w:eastAsia="zh-CN"/>
        </w:rPr>
        <w:t>duration</w:t>
      </w:r>
      <w:r>
        <w:rPr>
          <w:rFonts w:hint="default"/>
          <w:i/>
          <w:iCs/>
          <w:sz w:val="20"/>
          <w:szCs w:val="20"/>
          <w:highlight w:val="none"/>
          <w:lang w:val="en-US" w:eastAsia="zh-CN"/>
        </w:rPr>
        <w:t>’</w:t>
      </w:r>
      <w:r>
        <w:rPr>
          <w:rFonts w:hint="eastAsia"/>
          <w:i/>
          <w:iCs/>
          <w:sz w:val="20"/>
          <w:szCs w:val="20"/>
          <w:highlight w:val="none"/>
          <w:lang w:val="en-US" w:eastAsia="zh-CN"/>
        </w:rPr>
        <w:t xml:space="preserve"> </w:t>
      </w:r>
      <w:r>
        <w:rPr>
          <w:rFonts w:hint="eastAsia"/>
          <w:sz w:val="20"/>
          <w:szCs w:val="20"/>
          <w:highlight w:val="none"/>
          <w:lang w:val="en-US" w:eastAsia="zh-CN"/>
        </w:rPr>
        <w:t>in case the periodicity of the search space is larger than one slot. The performance can be further improved if PDCCH r</w:t>
      </w:r>
      <w:r>
        <w:rPr>
          <w:rFonts w:hint="eastAsia"/>
          <w:sz w:val="20"/>
          <w:szCs w:val="20"/>
          <w:highlight w:val="none"/>
          <w:lang w:eastAsia="zh-CN"/>
        </w:rPr>
        <w:t>epetition</w:t>
      </w:r>
      <w:r>
        <w:rPr>
          <w:rFonts w:hint="eastAsia"/>
          <w:sz w:val="20"/>
          <w:szCs w:val="20"/>
          <w:highlight w:val="none"/>
          <w:lang w:val="en-US" w:eastAsia="zh-CN"/>
        </w:rPr>
        <w:t>s</w:t>
      </w:r>
      <w:r>
        <w:rPr>
          <w:rFonts w:hint="eastAsia"/>
          <w:sz w:val="20"/>
          <w:szCs w:val="20"/>
          <w:highlight w:val="none"/>
          <w:lang w:val="en-US" w:eastAsia="zh-CN"/>
        </w:rPr>
        <w:t xml:space="preserve"> can be joint-decoded with combination.</w:t>
      </w:r>
    </w:p>
    <w:p>
      <w:pPr>
        <w:tabs>
          <w:tab w:val="left" w:pos="4000"/>
        </w:tabs>
        <w:rPr>
          <w:rFonts w:hint="eastAsia"/>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eastAsia="zh-CN"/>
        </w:rPr>
        <w:t xml:space="preserve">PDCCH repetition can be considered for </w:t>
      </w:r>
      <w:r>
        <w:rPr>
          <w:rFonts w:hint="eastAsia"/>
          <w:i/>
          <w:iCs/>
          <w:lang w:val="en-US" w:eastAsia="zh-CN"/>
        </w:rPr>
        <w:t>PDCCH</w:t>
      </w:r>
      <w:r>
        <w:rPr>
          <w:rFonts w:hint="eastAsia"/>
          <w:i/>
          <w:iCs/>
          <w:lang w:eastAsia="zh-CN"/>
        </w:rPr>
        <w:t xml:space="preserve"> coverage enhancement.</w:t>
      </w:r>
    </w:p>
    <w:p>
      <w:pPr>
        <w:pStyle w:val="3"/>
        <w:bidi w:val="0"/>
        <w:rPr>
          <w:rFonts w:hint="default"/>
          <w:lang w:val="en-US" w:eastAsia="zh-CN"/>
        </w:rPr>
      </w:pPr>
      <w:r>
        <w:rPr>
          <w:rFonts w:hint="eastAsia"/>
          <w:lang w:val="en-US" w:eastAsia="zh-CN"/>
        </w:rPr>
        <w:t>PDCCH-less for broadcast messages</w:t>
      </w:r>
    </w:p>
    <w:p>
      <w:pPr>
        <w:rPr>
          <w:rFonts w:hint="default"/>
          <w:lang w:val="en-US" w:eastAsia="zh-CN"/>
        </w:rPr>
      </w:pPr>
      <w:r>
        <w:rPr>
          <w:rFonts w:hint="eastAsia"/>
          <w:lang w:val="en-US" w:eastAsia="zh-CN"/>
        </w:rPr>
        <w:t>If broadcast PDCCH is the coverage bottleneck channel for the broadcast messages, one potential solution is using PDCCH-less for broadcast information transmission. PDCCH-less mechanism has already been supported for SIB message transmission in LTE MTC which also targets for coverage enhancement. In brief, for SIB1-BR transmission, the time/frequency resources are predefined, and the TBS and repetiton times are indicated in MIB. For other SIBs transmission, all scheduling information are indicated in SIB1-BR. In NR coverage enhancement, PDCCH-less can be also considered for broadcast messages transmission similarly.</w:t>
      </w:r>
    </w:p>
    <w:p>
      <w:pPr>
        <w:rPr>
          <w:rFonts w:hint="default"/>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bCs/>
          <w:i/>
          <w:iCs/>
          <w:lang w:val="en-US" w:eastAsia="zh-CN"/>
        </w:rPr>
        <w:t xml:space="preserve"> </w:t>
      </w:r>
      <w:r>
        <w:rPr>
          <w:rFonts w:hint="eastAsia"/>
          <w:i/>
          <w:iCs/>
          <w:lang w:eastAsia="zh-CN"/>
        </w:rPr>
        <w:t>PDCCH</w:t>
      </w:r>
      <w:r>
        <w:rPr>
          <w:rFonts w:hint="eastAsia"/>
          <w:i/>
          <w:iCs/>
          <w:lang w:val="en-US" w:eastAsia="zh-CN"/>
        </w:rPr>
        <w:t>-less</w:t>
      </w:r>
      <w:r>
        <w:rPr>
          <w:rFonts w:hint="eastAsia"/>
          <w:i/>
          <w:iCs/>
          <w:lang w:eastAsia="zh-CN"/>
        </w:rPr>
        <w:t xml:space="preserve"> </w:t>
      </w:r>
      <w:r>
        <w:rPr>
          <w:rFonts w:hint="eastAsia"/>
          <w:i/>
          <w:iCs/>
          <w:lang w:val="en-US" w:eastAsia="zh-CN"/>
        </w:rPr>
        <w:t xml:space="preserve">for broadcast messages can be </w:t>
      </w:r>
      <w:r>
        <w:rPr>
          <w:rFonts w:hint="eastAsia"/>
          <w:i/>
          <w:iCs/>
          <w:lang w:eastAsia="zh-CN"/>
        </w:rPr>
        <w:t xml:space="preserve">considered </w:t>
      </w:r>
      <w:r>
        <w:rPr>
          <w:rFonts w:hint="eastAsia"/>
          <w:i/>
          <w:iCs/>
          <w:lang w:val="en-US" w:eastAsia="zh-CN"/>
        </w:rPr>
        <w:t>for NR</w:t>
      </w:r>
      <w:r>
        <w:rPr>
          <w:rFonts w:hint="eastAsia"/>
          <w:i/>
          <w:iCs/>
          <w:lang w:eastAsia="zh-CN"/>
        </w:rPr>
        <w:t xml:space="preserve"> coverage enhancement.</w:t>
      </w:r>
    </w:p>
    <w:p>
      <w:pPr>
        <w:pStyle w:val="2"/>
        <w:bidi w:val="0"/>
        <w:rPr>
          <w:rFonts w:hint="default"/>
          <w:lang w:val="en-US" w:eastAsia="zh-CN"/>
        </w:rPr>
      </w:pPr>
      <w:r>
        <w:rPr>
          <w:rFonts w:hint="eastAsia"/>
          <w:lang w:val="en-US" w:eastAsia="zh-CN"/>
        </w:rPr>
        <w:t>Beam refinement</w:t>
      </w:r>
    </w:p>
    <w:p>
      <w:pPr>
        <w:rPr>
          <w:rFonts w:hint="default"/>
          <w:lang w:val="en-US" w:eastAsia="zh-CN"/>
        </w:rPr>
      </w:pPr>
      <w:r>
        <w:rPr>
          <w:rFonts w:hint="eastAsia"/>
          <w:highlight w:val="none"/>
          <w:lang w:eastAsia="zh-CN"/>
        </w:rPr>
        <w:t xml:space="preserve">Based on the </w:t>
      </w:r>
      <w:r>
        <w:rPr>
          <w:rFonts w:hint="eastAsia"/>
          <w:highlight w:val="none"/>
          <w:lang w:val="en-US" w:eastAsia="zh-CN"/>
        </w:rPr>
        <w:t xml:space="preserve">evaluation </w:t>
      </w:r>
      <w:r>
        <w:rPr>
          <w:rFonts w:hint="eastAsia"/>
          <w:highlight w:val="none"/>
          <w:lang w:eastAsia="zh-CN"/>
        </w:rPr>
        <w:t xml:space="preserve">in </w:t>
      </w:r>
      <w:r>
        <w:rPr>
          <w:rFonts w:hint="eastAsia"/>
          <w:highlight w:val="none"/>
          <w:lang w:val="en-US" w:eastAsia="zh-CN"/>
        </w:rPr>
        <w:t>[2][3]</w:t>
      </w:r>
      <w:r>
        <w:rPr>
          <w:rFonts w:hint="eastAsia"/>
          <w:highlight w:val="none"/>
          <w:lang w:eastAsia="zh-CN"/>
        </w:rPr>
        <w:t>, there still exists some scenarios that needs coverage enhancement for</w:t>
      </w:r>
      <w:r>
        <w:rPr>
          <w:rFonts w:hint="eastAsia"/>
          <w:highlight w:val="none"/>
          <w:lang w:val="en-US" w:eastAsia="zh-CN"/>
        </w:rPr>
        <w:t xml:space="preserve"> broadcast PDCCH and channels during RACH procedure</w:t>
      </w:r>
      <w:r>
        <w:rPr>
          <w:rFonts w:hint="eastAsia"/>
          <w:highlight w:val="none"/>
          <w:lang w:eastAsia="zh-CN"/>
        </w:rPr>
        <w:t xml:space="preserve">. </w:t>
      </w:r>
      <w:r>
        <w:rPr>
          <w:rFonts w:hint="eastAsia"/>
          <w:highlight w:val="none"/>
          <w:lang w:val="en-US" w:eastAsia="zh-CN"/>
        </w:rPr>
        <w:t xml:space="preserve">One main reason limiting the performance is due to limited SSB beam gains. </w:t>
      </w:r>
      <w:r>
        <w:rPr>
          <w:rFonts w:hint="eastAsia"/>
          <w:highlight w:val="none"/>
          <w:lang w:eastAsia="zh-CN"/>
        </w:rPr>
        <w:t xml:space="preserve">Therefore, in this section, we give some potential techniques for </w:t>
      </w:r>
      <w:r>
        <w:rPr>
          <w:rFonts w:hint="eastAsia"/>
          <w:highlight w:val="none"/>
          <w:lang w:val="en-US" w:eastAsia="zh-CN"/>
        </w:rPr>
        <w:t>beam refinement.</w:t>
      </w:r>
    </w:p>
    <w:p>
      <w:pPr>
        <w:pStyle w:val="3"/>
        <w:bidi w:val="0"/>
        <w:rPr>
          <w:rFonts w:hint="default"/>
          <w:lang w:val="en-US" w:eastAsia="zh-CN"/>
        </w:rPr>
      </w:pPr>
      <w:r>
        <w:rPr>
          <w:rFonts w:hint="eastAsia"/>
          <w:lang w:val="en-US" w:eastAsia="zh-CN"/>
        </w:rPr>
        <w:t>Increasing SSB number</w:t>
      </w:r>
    </w:p>
    <w:p>
      <w:pPr>
        <w:keepNext w:val="0"/>
        <w:keepLines w:val="0"/>
        <w:pageBreakBefore w:val="0"/>
        <w:widowControl/>
        <w:kinsoku/>
        <w:wordWrap/>
        <w:overflowPunct w:val="0"/>
        <w:topLinePunct w:val="0"/>
        <w:autoSpaceDE w:val="0"/>
        <w:autoSpaceDN w:val="0"/>
        <w:bidi w:val="0"/>
        <w:adjustRightInd w:val="0"/>
        <w:snapToGrid w:val="0"/>
        <w:spacing w:after="137" w:afterLines="50"/>
        <w:textAlignment w:val="baseline"/>
        <w:rPr>
          <w:rFonts w:hint="eastAsia"/>
          <w:lang w:val="en-US" w:eastAsia="zh-CN"/>
        </w:rPr>
      </w:pPr>
      <w:r>
        <w:rPr>
          <w:rFonts w:hint="eastAsia"/>
          <w:lang w:val="en-US" w:eastAsia="zh-CN"/>
        </w:rPr>
        <w:t xml:space="preserve">In order to maintain a reasonable downlink resource overhead, the maximum number of SSBs </w:t>
      </w:r>
      <w:r>
        <w:rPr>
          <w:rFonts w:hint="eastAsia"/>
          <w:position w:val="-10"/>
          <w:lang w:val="en-US" w:eastAsia="zh-CN"/>
        </w:rPr>
        <w:object>
          <v:shape id="_x0000_i1025" o:spt="75" type="#_x0000_t75" style="height:15pt;width:20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lang w:val="en-US" w:eastAsia="zh-CN"/>
        </w:rPr>
        <w:t xml:space="preserve">is limited in Rel-15/16. More specifically, </w:t>
      </w:r>
      <w:r>
        <w:rPr>
          <w:rFonts w:hint="eastAsia"/>
          <w:position w:val="-10"/>
          <w:lang w:val="en-US" w:eastAsia="zh-CN"/>
        </w:rPr>
        <w:object>
          <v:shape id="_x0000_i1026" o:spt="75" type="#_x0000_t75" style="height:15pt;width:20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9">
            <o:LockedField>false</o:LockedField>
          </o:OLEObject>
        </w:object>
      </w:r>
      <w:r>
        <w:rPr>
          <w:rFonts w:hint="eastAsia"/>
          <w:lang w:val="en-US" w:eastAsia="zh-CN"/>
        </w:rPr>
        <w:t xml:space="preserve">= 4 or 8 for FR1 and </w:t>
      </w:r>
      <w:r>
        <w:rPr>
          <w:rFonts w:hint="eastAsia"/>
          <w:position w:val="-10"/>
          <w:lang w:val="en-US" w:eastAsia="zh-CN"/>
        </w:rPr>
        <w:object>
          <v:shape id="_x0000_i1027" o:spt="75" type="#_x0000_t75" style="height:15pt;width:20pt;" o:ole="t" filled="f" o:preferrelative="t" stroked="f" coordsize="21600,21600">
            <v:path/>
            <v:fill on="f" focussize="0,0"/>
            <v:stroke on="f"/>
            <v:imagedata r:id="rId8" o:title=""/>
            <o:lock v:ext="edit" aspectratio="t"/>
            <w10:wrap type="none"/>
            <w10:anchorlock/>
          </v:shape>
          <o:OLEObject Type="Embed" ProgID="Equation.KSEE3" ShapeID="_x0000_i1027" DrawAspect="Content" ObjectID="_1468075727" r:id="rId10">
            <o:LockedField>false</o:LockedField>
          </o:OLEObject>
        </w:object>
      </w:r>
      <w:r>
        <w:rPr>
          <w:rFonts w:hint="eastAsia"/>
          <w:lang w:val="en-US" w:eastAsia="zh-CN"/>
        </w:rPr>
        <w:t xml:space="preserve">=64 for FR2 in Rel-15/16. However, a limitation of SSB number means using a wider beam width to cover a certain cell area. That is., </w:t>
      </w:r>
      <w:r>
        <w:rPr>
          <w:rFonts w:eastAsiaTheme="minorEastAsia"/>
          <w:lang w:val="fr-FR" w:eastAsia="zh-CN"/>
        </w:rPr>
        <w:t xml:space="preserve">beamforming </w:t>
      </w:r>
      <w:r>
        <w:rPr>
          <w:rFonts w:hint="eastAsia"/>
          <w:lang w:val="en-US" w:eastAsia="zh-CN"/>
        </w:rPr>
        <w:t>gain will be sacrificed</w:t>
      </w:r>
      <w:r>
        <w:rPr>
          <w:rFonts w:eastAsiaTheme="minorEastAsia"/>
          <w:lang w:val="fr-FR" w:eastAsia="zh-CN"/>
        </w:rPr>
        <w:t>.</w:t>
      </w:r>
      <w:r>
        <w:rPr>
          <w:rFonts w:hint="eastAsia" w:eastAsiaTheme="minorEastAsia"/>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37" w:afterLines="50"/>
        <w:textAlignment w:val="baseline"/>
        <w:rPr>
          <w:rFonts w:hint="default"/>
          <w:lang w:val="en-US" w:eastAsia="zh-CN"/>
        </w:rPr>
      </w:pPr>
      <w:r>
        <w:rPr>
          <w:rFonts w:hint="eastAsia"/>
          <w:lang w:val="en-US" w:eastAsia="zh-CN"/>
        </w:rPr>
        <w:t xml:space="preserve">Increasing SSB number can be a straightforward way for NR coverage enhancement of broadcast channels and channels during RACH procedure. Some related issues should be considered and evaluated carefully, such as, potential impact on legacy UE, time/frequency domain locations for new added SSBs, SSB index indication method, etc. </w:t>
      </w:r>
    </w:p>
    <w:p>
      <w:pPr>
        <w:rPr>
          <w:rFonts w:hint="default"/>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i/>
          <w:iCs/>
          <w:lang w:val="en-US" w:eastAsia="zh-CN"/>
        </w:rPr>
        <w:t>Increasing SSB number can be considered for NR coverage enhancement.</w:t>
      </w:r>
    </w:p>
    <w:p>
      <w:pPr>
        <w:pStyle w:val="3"/>
        <w:bidi w:val="0"/>
        <w:rPr>
          <w:rFonts w:hint="default"/>
          <w:lang w:val="en-US" w:eastAsia="zh-CN"/>
        </w:rPr>
      </w:pPr>
      <w:r>
        <w:rPr>
          <w:rFonts w:hint="eastAsia"/>
          <w:lang w:val="en-US" w:eastAsia="zh-CN"/>
        </w:rPr>
        <w:t>Beam refinement during RACH procedure</w:t>
      </w:r>
    </w:p>
    <w:p>
      <w:pPr>
        <w:rPr>
          <w:lang w:val="en-GB" w:eastAsia="en-US"/>
        </w:rPr>
      </w:pPr>
      <w:r>
        <w:rPr>
          <w:lang w:val="en-GB" w:eastAsia="en-US"/>
        </w:rPr>
        <w:t>In RAN1 NR_AH#2, it was agreed for contention free random access to support multiple Msg.1 transmissions</w:t>
      </w:r>
      <w:r>
        <w:rPr>
          <w:rFonts w:hint="eastAsia"/>
          <w:lang w:val="en-US" w:eastAsia="zh-CN"/>
        </w:rPr>
        <w:t>. However,</w:t>
      </w:r>
      <w:r>
        <w:rPr>
          <w:lang w:val="en-GB" w:eastAsia="en-US"/>
        </w:rPr>
        <w:t xml:space="preserve"> </w:t>
      </w:r>
      <w:r>
        <w:rPr>
          <w:rFonts w:hint="eastAsia"/>
          <w:lang w:val="en-US" w:eastAsia="zh-CN"/>
        </w:rPr>
        <w:t xml:space="preserve">due to limited timeline of Rel-15, it is not specified in the spec for </w:t>
      </w:r>
      <w:r>
        <w:rPr>
          <w:lang w:val="en-GB" w:eastAsia="en-US"/>
        </w:rPr>
        <w:t>multiple Msg.1 transmissions</w:t>
      </w:r>
      <w:r>
        <w:rPr>
          <w:rFonts w:hint="eastAsia"/>
          <w:lang w:val="en-US" w:eastAsia="zh-CN"/>
        </w:rPr>
        <w:t xml:space="preserve"> </w:t>
      </w:r>
      <w:r>
        <w:rPr>
          <w:lang w:val="en-GB" w:eastAsia="en-US"/>
        </w:rPr>
        <w:t>.</w:t>
      </w:r>
    </w:p>
    <w:tbl>
      <w:tblPr>
        <w:tblStyle w:val="51"/>
        <w:tblW w:w="924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42" w:type="dxa"/>
          </w:tcPr>
          <w:p>
            <w:pPr>
              <w:spacing w:before="120" w:line="280" w:lineRule="atLeast"/>
              <w:rPr>
                <w:rFonts w:hint="default" w:eastAsia="MS Mincho"/>
                <w:b/>
                <w:bCs/>
                <w:sz w:val="21"/>
                <w:szCs w:val="22"/>
                <w:highlight w:val="none"/>
                <w:u w:val="none"/>
                <w:lang w:eastAsia="ja-JP"/>
              </w:rPr>
            </w:pPr>
            <w:r>
              <w:rPr>
                <w:rFonts w:hint="eastAsia" w:eastAsia="MS Mincho"/>
                <w:b/>
                <w:highlight w:val="green"/>
                <w:u w:val="single"/>
                <w:lang w:eastAsia="ja-JP"/>
              </w:rPr>
              <w:t>Agreements:</w:t>
            </w:r>
          </w:p>
          <w:p>
            <w:pPr>
              <w:numPr>
                <w:ilvl w:val="0"/>
                <w:numId w:val="9"/>
              </w:numPr>
              <w:adjustRightInd/>
              <w:spacing w:before="120" w:line="240" w:lineRule="auto"/>
              <w:rPr>
                <w:rFonts w:eastAsia="MS Mincho"/>
                <w:lang w:eastAsia="ja-JP"/>
              </w:rPr>
            </w:pPr>
            <w:r>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pPr>
              <w:numPr>
                <w:ilvl w:val="1"/>
                <w:numId w:val="9"/>
              </w:numPr>
              <w:adjustRightInd/>
              <w:spacing w:before="120" w:line="240" w:lineRule="auto"/>
              <w:rPr>
                <w:rFonts w:eastAsia="MS Mincho"/>
                <w:lang w:eastAsia="ja-JP"/>
              </w:rPr>
            </w:pPr>
            <w:r>
              <w:rPr>
                <w:rFonts w:eastAsia="MS Mincho"/>
                <w:lang w:eastAsia="ja-JP"/>
              </w:rPr>
              <w:t>Note: The time resource used for ‘dedicated RACH in time domain’ is different from the time resources of contention based random access</w:t>
            </w:r>
          </w:p>
          <w:p>
            <w:pPr>
              <w:numPr>
                <w:ilvl w:val="1"/>
                <w:numId w:val="9"/>
              </w:numPr>
              <w:adjustRightInd/>
              <w:spacing w:before="120" w:line="240" w:lineRule="auto"/>
              <w:rPr>
                <w:rFonts w:eastAsia="MS Mincho"/>
                <w:lang w:eastAsia="ja-JP"/>
              </w:rPr>
            </w:pPr>
            <w:r>
              <w:rPr>
                <w:rFonts w:eastAsia="MS Mincho"/>
                <w:lang w:eastAsia="ja-JP"/>
              </w:rPr>
              <w:t>Note: Multiple Msg1 can be transmitted with same or different UE TX beams</w:t>
            </w:r>
          </w:p>
        </w:tc>
      </w:tr>
    </w:tbl>
    <w:p>
      <w:pPr>
        <w:spacing w:before="240"/>
        <w:rPr>
          <w:rFonts w:hint="default" w:eastAsia="宋体"/>
          <w:lang w:val="en-US" w:eastAsia="zh-CN"/>
        </w:rPr>
      </w:pPr>
      <w:r>
        <w:rPr>
          <w:rFonts w:hint="eastAsia"/>
          <w:lang w:val="en-US" w:eastAsia="zh-CN"/>
        </w:rPr>
        <w:t xml:space="preserve">Multiple </w:t>
      </w:r>
      <w:r>
        <w:rPr>
          <w:lang w:val="en-GB" w:eastAsia="en-US"/>
        </w:rPr>
        <w:t>Msg.1 transmission</w:t>
      </w:r>
      <w:r>
        <w:rPr>
          <w:rFonts w:hint="eastAsia"/>
          <w:lang w:val="en-US" w:eastAsia="zh-CN"/>
        </w:rPr>
        <w:t>s</w:t>
      </w:r>
      <w:r>
        <w:rPr>
          <w:lang w:val="en-GB" w:eastAsia="en-US"/>
        </w:rPr>
        <w:t xml:space="preserve"> before the end of a monitored </w:t>
      </w:r>
      <w:r>
        <w:rPr>
          <w:rFonts w:hint="eastAsia"/>
          <w:lang w:val="en-US" w:eastAsia="zh-CN"/>
        </w:rPr>
        <w:t>RAR</w:t>
      </w:r>
      <w:r>
        <w:rPr>
          <w:lang w:val="en-GB" w:eastAsia="en-US"/>
        </w:rPr>
        <w:t xml:space="preserve"> reception window can be </w:t>
      </w:r>
      <w:r>
        <w:rPr>
          <w:rFonts w:hint="eastAsia"/>
          <w:lang w:val="en-US" w:eastAsia="zh-CN"/>
        </w:rPr>
        <w:t>helpful for coverage enhancement SI</w:t>
      </w:r>
      <w:r>
        <w:rPr>
          <w:lang w:val="en-GB" w:eastAsia="en-US"/>
        </w:rPr>
        <w:t xml:space="preserve">. </w:t>
      </w:r>
      <w:r>
        <w:rPr>
          <w:rFonts w:hint="eastAsia"/>
          <w:lang w:val="en-US" w:eastAsia="zh-CN"/>
        </w:rPr>
        <w:t>Because, e</w:t>
      </w:r>
      <w:r>
        <w:rPr>
          <w:lang w:val="en-GB" w:eastAsia="en-US"/>
        </w:rPr>
        <w:t xml:space="preserve">ven in the scenario </w:t>
      </w:r>
      <w:r>
        <w:rPr>
          <w:rFonts w:hint="eastAsia"/>
          <w:lang w:val="en-US" w:eastAsia="zh-CN"/>
        </w:rPr>
        <w:t xml:space="preserve">for </w:t>
      </w:r>
      <w:r>
        <w:rPr>
          <w:lang w:val="en-GB" w:eastAsia="en-US"/>
        </w:rPr>
        <w:t xml:space="preserve">UEs with ideal Tx/Rx beam correspondence and analog beamforming, it may take extensive sweeping to find the best pair of TRP Tx beam and UE Rx beam, since only one UE Rx beam can be used at a time. The issue becomes more severe with longer DL signal periodicity, which can be up to 160 ms for SS burst set since there are less opportunities to try different UE Rx beams within a channel coherence interval. Instead, the UE </w:t>
      </w:r>
      <w:r>
        <w:rPr>
          <w:rFonts w:hint="eastAsia"/>
          <w:lang w:val="en-US" w:eastAsia="zh-CN"/>
        </w:rPr>
        <w:t xml:space="preserve">can </w:t>
      </w:r>
      <w:r>
        <w:rPr>
          <w:lang w:val="en-GB" w:eastAsia="en-US"/>
        </w:rPr>
        <w:t xml:space="preserve">sweep its </w:t>
      </w:r>
      <w:r>
        <w:rPr>
          <w:rFonts w:hint="eastAsia"/>
          <w:lang w:val="en-US" w:eastAsia="zh-CN"/>
        </w:rPr>
        <w:t>Tx</w:t>
      </w:r>
      <w:r>
        <w:rPr>
          <w:lang w:val="en-GB" w:eastAsia="en-US"/>
        </w:rPr>
        <w:t xml:space="preserve"> beam </w:t>
      </w:r>
      <w:r>
        <w:rPr>
          <w:rFonts w:hint="eastAsia"/>
          <w:lang w:val="en-US" w:eastAsia="zh-CN"/>
        </w:rPr>
        <w:t>by transmitting multiple</w:t>
      </w:r>
      <w:r>
        <w:rPr>
          <w:lang w:val="en-GB" w:eastAsia="en-US"/>
        </w:rPr>
        <w:t xml:space="preserve"> Msg.1.</w:t>
      </w:r>
      <w:r>
        <w:rPr>
          <w:rFonts w:hint="eastAsia"/>
          <w:lang w:val="en-US" w:eastAsia="zh-CN"/>
        </w:rPr>
        <w:t xml:space="preserve"> Then, gNB can also determine the best beam pair and indicate by Msg. 2. This would be helpful for remaining message transmissions during RACH procedure by using more appropriate beam.</w:t>
      </w:r>
    </w:p>
    <w:p>
      <w:pPr>
        <w:pStyle w:val="28"/>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lang w:val="en-GB" w:eastAsia="en-US"/>
        </w:rPr>
      </w:pPr>
      <w:r>
        <w:rPr>
          <w:b/>
          <w:bCs w:val="0"/>
          <w:i/>
        </w:rPr>
        <w:t>Proposal</w:t>
      </w:r>
      <w:r>
        <w:rPr>
          <w:b/>
          <w:bCs w:val="0"/>
          <w:i/>
          <w:lang w:eastAsia="zh-CN"/>
        </w:rPr>
        <w:t xml:space="preserve"> </w:t>
      </w:r>
      <w:r>
        <w:rPr>
          <w:rFonts w:hint="eastAsia"/>
          <w:b/>
          <w:bCs w:val="0"/>
          <w:i/>
          <w:lang w:val="en-US" w:eastAsia="zh-CN"/>
        </w:rPr>
        <w:t>5</w:t>
      </w:r>
      <w:r>
        <w:rPr>
          <w:b/>
          <w:bCs w:val="0"/>
          <w:i/>
        </w:rPr>
        <w:t xml:space="preserve">: </w:t>
      </w:r>
      <w:r>
        <w:rPr>
          <w:rFonts w:hint="eastAsia"/>
          <w:b w:val="0"/>
          <w:bCs/>
          <w:i/>
          <w:lang w:val="en-US" w:eastAsia="zh-CN"/>
        </w:rPr>
        <w:t xml:space="preserve">Multiple </w:t>
      </w:r>
      <w:r>
        <w:rPr>
          <w:b w:val="0"/>
          <w:bCs/>
          <w:i/>
        </w:rPr>
        <w:t>Msg.1 transmission</w:t>
      </w:r>
      <w:r>
        <w:rPr>
          <w:rFonts w:hint="eastAsia"/>
          <w:b w:val="0"/>
          <w:bCs/>
          <w:i/>
          <w:lang w:val="en-US" w:eastAsia="zh-CN"/>
        </w:rPr>
        <w:t>s</w:t>
      </w:r>
      <w:r>
        <w:rPr>
          <w:b w:val="0"/>
          <w:bCs/>
          <w:i/>
        </w:rPr>
        <w:t xml:space="preserve"> before the end of a monitored Msg.2 reception window</w:t>
      </w:r>
      <w:r>
        <w:rPr>
          <w:rFonts w:hint="eastAsia"/>
          <w:b w:val="0"/>
          <w:bCs/>
          <w:i/>
          <w:lang w:val="en-US" w:eastAsia="zh-CN"/>
        </w:rPr>
        <w:t xml:space="preserve"> can be considered. </w:t>
      </w:r>
      <w:r>
        <w:rPr>
          <w:b w:val="0"/>
          <w:bCs/>
          <w:i/>
        </w:rPr>
        <w:t xml:space="preserve"> </w:t>
      </w:r>
    </w:p>
    <w:p>
      <w:pPr>
        <w:rPr>
          <w:rFonts w:hint="eastAsia"/>
          <w:lang w:val="en-US" w:eastAsia="zh-CN"/>
        </w:rPr>
      </w:pPr>
      <w:r>
        <w:rPr>
          <w:rFonts w:hint="eastAsia"/>
          <w:lang w:val="en-US" w:eastAsia="zh-CN"/>
        </w:rPr>
        <w:t xml:space="preserve">The beam gain for channels during RACH procedure is limited by SSB beams. Another way to obtain finer beam granularity is to enable CSI-RS measurement during RACH procedure. For instance, RAR can configure some CSI-RS resources, and UE reports corresponding L1-RSRP in Msg 3. </w:t>
      </w:r>
    </w:p>
    <w:p>
      <w:pPr>
        <w:rPr>
          <w:rFonts w:hint="default"/>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b w:val="0"/>
          <w:bCs w:val="0"/>
          <w:i/>
          <w:iCs/>
          <w:lang w:val="en-US" w:eastAsia="zh-CN"/>
        </w:rPr>
        <w:t>B</w:t>
      </w:r>
      <w:r>
        <w:rPr>
          <w:rFonts w:hint="eastAsia"/>
          <w:i/>
          <w:iCs/>
          <w:lang w:val="en-US" w:eastAsia="zh-CN"/>
        </w:rPr>
        <w:t>eam refinement based on CSI-RS measurement during RACH procedure can be considered.</w:t>
      </w:r>
    </w:p>
    <w:p>
      <w:pPr>
        <w:pStyle w:val="2"/>
        <w:bidi w:val="0"/>
        <w:rPr>
          <w:rFonts w:hint="default"/>
          <w:lang w:val="en-US" w:eastAsia="zh-CN"/>
        </w:rPr>
      </w:pPr>
      <w:r>
        <w:rPr>
          <w:rFonts w:hint="eastAsia"/>
          <w:lang w:val="en-US" w:eastAsia="zh-CN"/>
        </w:rPr>
        <w:t>Msg3 enhancement</w:t>
      </w:r>
      <w:bookmarkStart w:id="4" w:name="_GoBack"/>
      <w:bookmarkEnd w:id="4"/>
    </w:p>
    <w:p>
      <w:pPr>
        <w:rPr>
          <w:lang w:eastAsia="zh-CN"/>
        </w:rPr>
      </w:pPr>
      <w:r>
        <w:rPr>
          <w:rFonts w:hint="eastAsia"/>
          <w:lang w:eastAsia="zh-CN"/>
        </w:rPr>
        <w:t xml:space="preserve">In </w:t>
      </w:r>
      <w:r>
        <w:rPr>
          <w:rFonts w:hint="eastAsia"/>
          <w:lang w:val="en-US" w:eastAsia="zh-CN"/>
        </w:rPr>
        <w:t>Rel-15/</w:t>
      </w:r>
      <w:r>
        <w:rPr>
          <w:rFonts w:hint="eastAsia"/>
          <w:lang w:eastAsia="zh-CN"/>
        </w:rPr>
        <w:t xml:space="preserve">Rel-16, PUSCH repetition </w:t>
      </w:r>
      <w:r>
        <w:rPr>
          <w:rFonts w:hint="eastAsia"/>
          <w:lang w:val="en-US" w:eastAsia="zh-CN"/>
        </w:rPr>
        <w:t>has been suppor</w:t>
      </w:r>
      <w:r>
        <w:rPr>
          <w:rFonts w:hint="eastAsia"/>
          <w:sz w:val="21"/>
          <w:szCs w:val="22"/>
          <w:lang w:val="en-US" w:eastAsia="zh-CN"/>
        </w:rPr>
        <w:t xml:space="preserve">ted for CG PUSCH or DG PUSCH scheduled by DCI format 0_1/0_2. </w:t>
      </w:r>
      <w:r>
        <w:t>However, for PUSCH scheduled by DCI format 0</w:t>
      </w:r>
      <w:r>
        <w:rPr>
          <w:rFonts w:hint="eastAsia"/>
          <w:lang w:val="en-US" w:eastAsia="zh-CN"/>
        </w:rPr>
        <w:t>_</w:t>
      </w:r>
      <w:r>
        <w:t>0, PUSCH repetition is not supported.</w:t>
      </w:r>
      <w:r>
        <w:rPr>
          <w:rFonts w:hint="eastAsia"/>
          <w:lang w:val="en-US" w:eastAsia="zh-CN"/>
        </w:rPr>
        <w:t xml:space="preserve"> That is, repetition is not supported for Msg3. </w:t>
      </w:r>
      <w:r>
        <w:rPr>
          <w:rFonts w:hint="eastAsia"/>
          <w:sz w:val="21"/>
          <w:szCs w:val="22"/>
          <w:lang w:eastAsia="zh-CN"/>
        </w:rPr>
        <w:t xml:space="preserve">To </w:t>
      </w:r>
      <w:r>
        <w:rPr>
          <w:rFonts w:hint="eastAsia"/>
          <w:sz w:val="21"/>
          <w:szCs w:val="22"/>
          <w:lang w:val="en-US" w:eastAsia="zh-CN"/>
        </w:rPr>
        <w:t>improve the performance</w:t>
      </w:r>
      <w:r>
        <w:rPr>
          <w:rFonts w:hint="eastAsia"/>
          <w:sz w:val="21"/>
          <w:szCs w:val="22"/>
          <w:lang w:eastAsia="zh-CN"/>
        </w:rPr>
        <w:t xml:space="preserve"> of </w:t>
      </w:r>
      <w:r>
        <w:rPr>
          <w:rFonts w:hint="eastAsia"/>
          <w:sz w:val="21"/>
          <w:szCs w:val="22"/>
          <w:lang w:val="en-US" w:eastAsia="zh-CN"/>
        </w:rPr>
        <w:t>Msg3</w:t>
      </w:r>
      <w:r>
        <w:rPr>
          <w:rFonts w:hint="eastAsia"/>
          <w:sz w:val="21"/>
          <w:szCs w:val="22"/>
          <w:lang w:eastAsia="zh-CN"/>
        </w:rPr>
        <w:t xml:space="preserve">, </w:t>
      </w:r>
      <w:r>
        <w:rPr>
          <w:rFonts w:hint="eastAsia"/>
          <w:lang w:val="en-US" w:eastAsia="zh-CN"/>
        </w:rPr>
        <w:t>Msg3</w:t>
      </w:r>
      <w:r>
        <w:rPr>
          <w:rFonts w:hint="eastAsia"/>
          <w:lang w:eastAsia="zh-CN"/>
        </w:rPr>
        <w:t xml:space="preserve"> repetition can be considered.</w:t>
      </w:r>
    </w:p>
    <w:p>
      <w:pPr>
        <w:rPr>
          <w:lang w:eastAsia="zh-CN"/>
        </w:rPr>
      </w:pPr>
      <w:r>
        <w:rPr>
          <w:rFonts w:hint="eastAsia"/>
          <w:lang w:eastAsia="zh-CN"/>
        </w:rPr>
        <w:t xml:space="preserve">Figure </w:t>
      </w:r>
      <w:r>
        <w:rPr>
          <w:rFonts w:hint="eastAsia"/>
          <w:highlight w:val="none"/>
          <w:lang w:val="en-US" w:eastAsia="zh-CN"/>
        </w:rPr>
        <w:t>1</w:t>
      </w:r>
      <w:r>
        <w:rPr>
          <w:rFonts w:hint="eastAsia"/>
          <w:highlight w:val="none"/>
          <w:lang w:eastAsia="zh-CN"/>
        </w:rPr>
        <w:t xml:space="preserve"> </w:t>
      </w:r>
      <w:r>
        <w:rPr>
          <w:rFonts w:hint="eastAsia"/>
          <w:lang w:eastAsia="zh-CN"/>
        </w:rPr>
        <w:t xml:space="preserve">shows the performance of </w:t>
      </w:r>
      <w:r>
        <w:rPr>
          <w:rFonts w:hint="eastAsia"/>
          <w:lang w:val="en-US" w:eastAsia="zh-CN"/>
        </w:rPr>
        <w:t>Msg3</w:t>
      </w:r>
      <w:r>
        <w:rPr>
          <w:rFonts w:hint="eastAsia"/>
          <w:lang w:eastAsia="zh-CN"/>
        </w:rPr>
        <w:t xml:space="preserve"> with </w:t>
      </w:r>
      <w:r>
        <w:rPr>
          <w:rFonts w:hint="eastAsia"/>
          <w:lang w:val="en-US" w:eastAsia="zh-CN"/>
        </w:rPr>
        <w:t xml:space="preserve">4 </w:t>
      </w:r>
      <w:r>
        <w:rPr>
          <w:rFonts w:hint="eastAsia"/>
          <w:lang w:eastAsia="zh-CN"/>
        </w:rPr>
        <w:t>repetition</w:t>
      </w:r>
      <w:r>
        <w:rPr>
          <w:rFonts w:hint="eastAsia"/>
          <w:lang w:val="en-US" w:eastAsia="zh-CN"/>
        </w:rPr>
        <w:t>s</w:t>
      </w:r>
      <w:r>
        <w:rPr>
          <w:rFonts w:hint="eastAsia"/>
          <w:lang w:eastAsia="zh-CN"/>
        </w:rPr>
        <w:t xml:space="preserve"> for </w:t>
      </w:r>
      <w:r>
        <w:rPr>
          <w:rFonts w:hint="eastAsia"/>
          <w:lang w:val="en-US" w:eastAsia="zh-CN"/>
        </w:rPr>
        <w:t>rural</w:t>
      </w:r>
      <w:r>
        <w:rPr>
          <w:rFonts w:hint="eastAsia"/>
          <w:lang w:eastAsia="zh-CN"/>
        </w:rPr>
        <w:t xml:space="preserve"> scenario</w:t>
      </w:r>
      <w:r>
        <w:rPr>
          <w:rFonts w:hint="eastAsia"/>
          <w:lang w:val="en-US" w:eastAsia="zh-CN"/>
        </w:rPr>
        <w:t xml:space="preserve"> and long distance rural scenario</w:t>
      </w:r>
      <w:r>
        <w:rPr>
          <w:rFonts w:hint="eastAsia"/>
          <w:lang w:eastAsia="zh-CN"/>
        </w:rPr>
        <w:t xml:space="preserve">. And Table </w:t>
      </w:r>
      <w:r>
        <w:rPr>
          <w:rFonts w:hint="eastAsia"/>
          <w:highlight w:val="none"/>
          <w:lang w:val="en-US" w:eastAsia="zh-CN"/>
        </w:rPr>
        <w:t>1</w:t>
      </w:r>
      <w:r>
        <w:rPr>
          <w:rFonts w:hint="eastAsia"/>
          <w:lang w:eastAsia="zh-CN"/>
        </w:rPr>
        <w:t xml:space="preserve"> lists the required SNR for different cases. </w:t>
      </w:r>
      <w:r>
        <w:rPr>
          <w:lang w:eastAsia="zh-CN"/>
        </w:rPr>
        <w:t>The simulation assumptions are listed in Table A</w:t>
      </w:r>
      <w:r>
        <w:rPr>
          <w:rFonts w:hint="eastAsia"/>
          <w:lang w:val="en-US" w:eastAsia="zh-CN"/>
        </w:rPr>
        <w:t>-</w:t>
      </w:r>
      <w:r>
        <w:rPr>
          <w:lang w:eastAsia="zh-CN"/>
        </w:rPr>
        <w:t xml:space="preserve">1 in the Annex. </w:t>
      </w:r>
    </w:p>
    <w:p>
      <w:pPr>
        <w:rPr>
          <w:rFonts w:hint="default"/>
          <w:lang w:val="en-US" w:eastAsia="zh-CN"/>
        </w:rPr>
      </w:pPr>
    </w:p>
    <w:p>
      <w:pPr>
        <w:jc w:val="center"/>
      </w:pPr>
      <w:r>
        <w:drawing>
          <wp:inline distT="0" distB="0" distL="114300" distR="114300">
            <wp:extent cx="5380990" cy="4050030"/>
            <wp:effectExtent l="4445" t="4445" r="9525" b="14605"/>
            <wp:docPr id="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hint="eastAsia"/>
          <w:lang w:eastAsia="zh-CN"/>
        </w:rPr>
      </w:pPr>
      <w:r>
        <w:rPr>
          <w:rFonts w:hint="eastAsia"/>
          <w:lang w:eastAsia="zh-CN"/>
        </w:rPr>
        <w:t xml:space="preserve">Figure </w:t>
      </w:r>
      <w:r>
        <w:rPr>
          <w:rFonts w:hint="eastAsia"/>
          <w:highlight w:val="none"/>
          <w:lang w:val="en-US" w:eastAsia="zh-CN"/>
        </w:rPr>
        <w:t>1</w:t>
      </w:r>
      <w:r>
        <w:rPr>
          <w:rFonts w:hint="eastAsia"/>
          <w:highlight w:val="none"/>
          <w:lang w:eastAsia="zh-CN"/>
        </w:rPr>
        <w:t>.</w:t>
      </w:r>
      <w:r>
        <w:rPr>
          <w:rFonts w:hint="eastAsia"/>
          <w:lang w:eastAsia="zh-CN"/>
        </w:rPr>
        <w:t xml:space="preserve"> Performance of </w:t>
      </w:r>
      <w:r>
        <w:rPr>
          <w:rFonts w:hint="eastAsia"/>
          <w:lang w:val="en-US" w:eastAsia="zh-CN"/>
        </w:rPr>
        <w:t>Msg3</w:t>
      </w:r>
      <w:r>
        <w:rPr>
          <w:rFonts w:hint="eastAsia"/>
          <w:lang w:eastAsia="zh-CN"/>
        </w:rPr>
        <w:t xml:space="preserve"> </w:t>
      </w:r>
      <w:r>
        <w:rPr>
          <w:rFonts w:hint="eastAsia"/>
          <w:lang w:val="en-US" w:eastAsia="zh-CN"/>
        </w:rPr>
        <w:t>w/ or w/o repetition</w:t>
      </w:r>
      <w:r>
        <w:rPr>
          <w:rFonts w:hint="eastAsia"/>
          <w:lang w:eastAsia="zh-CN"/>
        </w:rPr>
        <w:t>.</w:t>
      </w:r>
    </w:p>
    <w:p>
      <w:pPr>
        <w:jc w:val="center"/>
        <w:rPr>
          <w:rFonts w:hint="eastAsia"/>
          <w:lang w:eastAsia="zh-CN"/>
        </w:rPr>
      </w:pPr>
      <w:r>
        <w:rPr>
          <w:rFonts w:hint="eastAsia" w:ascii="Times New Roman" w:hAnsi="Times New Roman" w:eastAsia="宋体" w:cs="Times New Roman"/>
          <w:sz w:val="21"/>
          <w:szCs w:val="22"/>
          <w:lang w:val="en-US" w:eastAsia="zh-CN"/>
        </w:rPr>
        <w:t xml:space="preserve">Table </w:t>
      </w:r>
      <w:r>
        <w:rPr>
          <w:rFonts w:hint="eastAsia"/>
          <w:highlight w:val="none"/>
          <w:lang w:val="en-US" w:eastAsia="zh-CN"/>
        </w:rPr>
        <w:t>1</w:t>
      </w:r>
      <w:r>
        <w:rPr>
          <w:rFonts w:hint="eastAsia"/>
          <w:highlight w:val="none"/>
          <w:lang w:eastAsia="zh-CN"/>
        </w:rPr>
        <w:t>.</w:t>
      </w:r>
      <w:r>
        <w:rPr>
          <w:rFonts w:hint="eastAsia"/>
          <w:lang w:eastAsia="zh-CN"/>
        </w:rPr>
        <w:t xml:space="preserve"> </w:t>
      </w:r>
      <w:r>
        <w:rPr>
          <w:rFonts w:hint="eastAsia"/>
          <w:lang w:val="en-US" w:eastAsia="zh-CN"/>
        </w:rPr>
        <w:t>The required SNR</w:t>
      </w:r>
      <w:r>
        <w:rPr>
          <w:rFonts w:hint="eastAsia"/>
          <w:lang w:eastAsia="zh-CN"/>
        </w:rPr>
        <w:t xml:space="preserve"> of </w:t>
      </w:r>
      <w:r>
        <w:rPr>
          <w:rFonts w:hint="eastAsia"/>
          <w:lang w:val="en-US" w:eastAsia="zh-CN"/>
        </w:rPr>
        <w:t>Msg3</w:t>
      </w:r>
      <w:r>
        <w:rPr>
          <w:rFonts w:hint="eastAsia"/>
          <w:lang w:eastAsia="zh-CN"/>
        </w:rPr>
        <w:t xml:space="preserve"> </w:t>
      </w:r>
      <w:r>
        <w:rPr>
          <w:rFonts w:hint="eastAsia"/>
          <w:lang w:val="en-US" w:eastAsia="zh-CN"/>
        </w:rPr>
        <w:t>w/ or w/o repetition</w:t>
      </w:r>
      <w:r>
        <w:rPr>
          <w:rFonts w:hint="eastAsia"/>
          <w:lang w:eastAsia="zh-CN"/>
        </w:rPr>
        <w:t>.</w:t>
      </w:r>
    </w:p>
    <w:tbl>
      <w:tblPr>
        <w:tblStyle w:val="51"/>
        <w:tblW w:w="9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2"/>
        <w:gridCol w:w="1844"/>
        <w:gridCol w:w="1734"/>
        <w:gridCol w:w="1734"/>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2722" w:type="dxa"/>
            <w:vAlign w:val="center"/>
          </w:tcPr>
          <w:p>
            <w:pPr>
              <w:keepNext w:val="0"/>
              <w:keepLines w:val="0"/>
              <w:pageBreakBefore w:val="0"/>
              <w:widowControl/>
              <w:kinsoku/>
              <w:wordWrap/>
              <w:overflowPunct w:val="0"/>
              <w:topLinePunct w:val="0"/>
              <w:bidi w:val="0"/>
              <w:snapToGrid w:val="0"/>
              <w:spacing w:after="0" w:line="240" w:lineRule="auto"/>
              <w:jc w:val="center"/>
              <w:rPr>
                <w:b/>
                <w:bCs/>
                <w:lang w:val="en-US" w:eastAsia="zh-CN"/>
              </w:rPr>
            </w:pPr>
            <w:r>
              <w:rPr>
                <w:rFonts w:hint="eastAsia"/>
                <w:b/>
                <w:bCs/>
                <w:lang w:val="en-US" w:eastAsia="zh-CN"/>
              </w:rPr>
              <w:t>Scenario</w:t>
            </w:r>
          </w:p>
        </w:tc>
        <w:tc>
          <w:tcPr>
            <w:tcW w:w="1844" w:type="dxa"/>
            <w:vAlign w:val="center"/>
          </w:tcPr>
          <w:p>
            <w:pPr>
              <w:keepNext w:val="0"/>
              <w:keepLines w:val="0"/>
              <w:pageBreakBefore w:val="0"/>
              <w:widowControl/>
              <w:kinsoku/>
              <w:wordWrap/>
              <w:overflowPunct w:val="0"/>
              <w:topLinePunct w:val="0"/>
              <w:bidi w:val="0"/>
              <w:snapToGrid w:val="0"/>
              <w:spacing w:after="0" w:line="240" w:lineRule="auto"/>
              <w:jc w:val="center"/>
              <w:rPr>
                <w:b/>
                <w:bCs/>
                <w:lang w:val="en-US" w:eastAsia="zh-CN"/>
              </w:rPr>
            </w:pPr>
            <w:r>
              <w:rPr>
                <w:rFonts w:hint="eastAsia"/>
                <w:b/>
                <w:bCs/>
                <w:lang w:val="en-US" w:eastAsia="zh-CN"/>
              </w:rPr>
              <w:t>Number of RBs</w:t>
            </w:r>
          </w:p>
        </w:tc>
        <w:tc>
          <w:tcPr>
            <w:tcW w:w="1734" w:type="dxa"/>
            <w:vAlign w:val="center"/>
          </w:tcPr>
          <w:p>
            <w:pPr>
              <w:keepNext w:val="0"/>
              <w:keepLines w:val="0"/>
              <w:pageBreakBefore w:val="0"/>
              <w:widowControl/>
              <w:kinsoku/>
              <w:wordWrap/>
              <w:overflowPunct w:val="0"/>
              <w:topLinePunct w:val="0"/>
              <w:bidi w:val="0"/>
              <w:snapToGrid w:val="0"/>
              <w:spacing w:after="0" w:line="240" w:lineRule="auto"/>
              <w:jc w:val="center"/>
              <w:rPr>
                <w:rFonts w:hint="default"/>
                <w:b/>
                <w:bCs/>
                <w:lang w:val="en-US" w:eastAsia="zh-CN"/>
              </w:rPr>
            </w:pPr>
            <w:r>
              <w:rPr>
                <w:rFonts w:hint="eastAsia"/>
                <w:b/>
                <w:bCs/>
                <w:lang w:val="en-US" w:eastAsia="zh-CN"/>
              </w:rPr>
              <w:t>Repetitions</w:t>
            </w:r>
          </w:p>
        </w:tc>
        <w:tc>
          <w:tcPr>
            <w:tcW w:w="1734" w:type="dxa"/>
            <w:vAlign w:val="center"/>
          </w:tcPr>
          <w:p>
            <w:pPr>
              <w:keepNext w:val="0"/>
              <w:keepLines w:val="0"/>
              <w:pageBreakBefore w:val="0"/>
              <w:widowControl/>
              <w:kinsoku/>
              <w:wordWrap/>
              <w:overflowPunct w:val="0"/>
              <w:topLinePunct w:val="0"/>
              <w:bidi w:val="0"/>
              <w:snapToGrid w:val="0"/>
              <w:spacing w:after="0" w:line="240" w:lineRule="auto"/>
              <w:jc w:val="center"/>
              <w:rPr>
                <w:rFonts w:hint="eastAsia"/>
                <w:b/>
                <w:bCs/>
                <w:lang w:val="en-US" w:eastAsia="zh-CN"/>
              </w:rPr>
            </w:pPr>
            <w:r>
              <w:rPr>
                <w:rFonts w:hint="eastAsia"/>
                <w:b/>
                <w:bCs/>
                <w:sz w:val="20"/>
                <w:szCs w:val="20"/>
              </w:rPr>
              <w:t># of receiving antenna ports</w:t>
            </w:r>
          </w:p>
        </w:tc>
        <w:tc>
          <w:tcPr>
            <w:tcW w:w="1733" w:type="dxa"/>
            <w:vAlign w:val="center"/>
          </w:tcPr>
          <w:p>
            <w:pPr>
              <w:keepNext w:val="0"/>
              <w:keepLines w:val="0"/>
              <w:pageBreakBefore w:val="0"/>
              <w:widowControl/>
              <w:kinsoku/>
              <w:wordWrap/>
              <w:overflowPunct w:val="0"/>
              <w:topLinePunct w:val="0"/>
              <w:bidi w:val="0"/>
              <w:snapToGrid w:val="0"/>
              <w:spacing w:after="0" w:line="240" w:lineRule="auto"/>
              <w:jc w:val="center"/>
              <w:rPr>
                <w:b/>
                <w:bCs/>
                <w:lang w:val="en-US" w:eastAsia="zh-CN"/>
              </w:rPr>
            </w:pPr>
            <w:r>
              <w:rPr>
                <w:rFonts w:hint="eastAsia"/>
                <w:b/>
                <w:bCs/>
                <w:lang w:val="en-US" w:eastAsia="zh-CN"/>
              </w:rPr>
              <w:t>Required 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2" w:type="dxa"/>
            <w:vMerge w:val="restart"/>
            <w:vAlign w:val="center"/>
          </w:tcPr>
          <w:p>
            <w:pPr>
              <w:keepNext w:val="0"/>
              <w:keepLines w:val="0"/>
              <w:pageBreakBefore w:val="0"/>
              <w:widowControl/>
              <w:suppressLineNumbers w:val="0"/>
              <w:kinsoku/>
              <w:wordWrap/>
              <w:overflowPunct w:val="0"/>
              <w:topLinePunct w:val="0"/>
              <w:bidi w:val="0"/>
              <w:snapToGrid w:val="0"/>
              <w:spacing w:after="0" w:line="240" w:lineRule="auto"/>
              <w:jc w:val="center"/>
              <w:textAlignment w:val="bottom"/>
              <w:rPr>
                <w:rFonts w:hint="default" w:eastAsia="宋体"/>
                <w:lang w:val="en-US" w:eastAsia="zh-CN"/>
              </w:rPr>
            </w:pPr>
            <w:r>
              <w:rPr>
                <w:rFonts w:hint="eastAsia"/>
                <w:lang w:val="en-US" w:eastAsia="zh-CN"/>
              </w:rPr>
              <w:t>Rural scenario</w:t>
            </w:r>
            <w:r>
              <w:rPr>
                <w:rFonts w:hint="eastAsia" w:eastAsia="宋体"/>
                <w:lang w:val="en-US" w:eastAsia="zh-CN"/>
              </w:rPr>
              <w:t>, 700MHz, O2O</w:t>
            </w: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eastAsia"/>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b w:val="0"/>
                <w:bCs w:val="0"/>
                <w:lang w:val="en-US" w:eastAsia="zh-CN"/>
              </w:rPr>
            </w:pPr>
            <w:r>
              <w:rPr>
                <w:b w:val="0"/>
                <w:bCs w:val="0"/>
                <w:lang w:val="en-US" w:eastAsia="zh-CN"/>
              </w:rPr>
              <w:t>2Rx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eastAsia="宋体"/>
                <w:kern w:val="24"/>
                <w:sz w:val="20"/>
                <w:szCs w:val="20"/>
                <w:lang w:val="en-US" w:eastAsia="zh-CN"/>
              </w:rPr>
            </w:pPr>
            <w:r>
              <w:rPr>
                <w:rFonts w:hint="eastAsia"/>
                <w:kern w:val="24"/>
                <w:sz w:val="20"/>
                <w:szCs w:val="20"/>
                <w:lang w:val="en-US" w:eastAsia="zh-CN"/>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2" w:type="dxa"/>
            <w:vMerge w:val="continue"/>
            <w:vAlign w:val="center"/>
          </w:tcPr>
          <w:p>
            <w:pPr>
              <w:keepNext w:val="0"/>
              <w:keepLines w:val="0"/>
              <w:pageBreakBefore w:val="0"/>
              <w:widowControl/>
              <w:suppressLineNumbers w:val="0"/>
              <w:kinsoku/>
              <w:wordWrap/>
              <w:overflowPunct w:val="0"/>
              <w:topLinePunct w:val="0"/>
              <w:bidi w:val="0"/>
              <w:snapToGrid w:val="0"/>
              <w:spacing w:after="0" w:line="240" w:lineRule="auto"/>
              <w:jc w:val="center"/>
              <w:textAlignment w:val="bottom"/>
              <w:rPr>
                <w:rFonts w:hint="eastAsia"/>
                <w:lang w:val="en-US" w:eastAsia="zh-CN"/>
              </w:rPr>
            </w:pP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4</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b w:val="0"/>
                <w:bCs w:val="0"/>
                <w:lang w:val="en-US" w:eastAsia="zh-CN"/>
              </w:rPr>
            </w:pPr>
            <w:r>
              <w:rPr>
                <w:b w:val="0"/>
                <w:bCs w:val="0"/>
                <w:lang w:val="en-US" w:eastAsia="zh-CN"/>
              </w:rPr>
              <w:t>2Rx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2" w:type="dxa"/>
            <w:vMerge w:val="continue"/>
            <w:vAlign w:val="center"/>
          </w:tcPr>
          <w:p>
            <w:pPr>
              <w:keepNext w:val="0"/>
              <w:keepLines w:val="0"/>
              <w:pageBreakBefore w:val="0"/>
              <w:widowControl/>
              <w:kinsoku/>
              <w:wordWrap/>
              <w:overflowPunct w:val="0"/>
              <w:topLinePunct w:val="0"/>
              <w:bidi w:val="0"/>
              <w:snapToGrid w:val="0"/>
              <w:spacing w:after="0" w:line="240" w:lineRule="auto"/>
              <w:jc w:val="center"/>
              <w:rPr>
                <w:rFonts w:hint="eastAsia"/>
                <w:lang w:val="en-US" w:eastAsia="zh-CN"/>
              </w:rPr>
            </w:pP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eastAsia"/>
                <w:kern w:val="24"/>
                <w:sz w:val="20"/>
                <w:szCs w:val="20"/>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kern w:val="24"/>
                <w:sz w:val="20"/>
                <w:szCs w:val="20"/>
              </w:rPr>
            </w:pPr>
            <w:r>
              <w:rPr>
                <w:rFonts w:hint="eastAsia"/>
                <w:b w:val="0"/>
                <w:bCs w:val="0"/>
                <w:lang w:val="en-US" w:eastAsia="zh-CN"/>
              </w:rPr>
              <w:t>4</w:t>
            </w:r>
            <w:r>
              <w:rPr>
                <w:b w:val="0"/>
                <w:bCs w:val="0"/>
                <w:lang w:val="en-US" w:eastAsia="zh-CN"/>
              </w:rPr>
              <w:t>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eastAsia="宋体"/>
                <w:kern w:val="24"/>
                <w:sz w:val="20"/>
                <w:szCs w:val="20"/>
                <w:lang w:val="en-US" w:eastAsia="zh-CN"/>
              </w:rPr>
            </w:pPr>
            <w:r>
              <w:rPr>
                <w:rFonts w:hint="eastAsia"/>
                <w:kern w:val="24"/>
                <w:sz w:val="20"/>
                <w:szCs w:val="20"/>
                <w:lang w:val="en-US" w:eastAsia="zh-CN"/>
              </w:rPr>
              <w:t>-7.78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2" w:type="dxa"/>
            <w:vMerge w:val="continue"/>
            <w:vAlign w:val="center"/>
          </w:tcPr>
          <w:p>
            <w:pPr>
              <w:keepNext w:val="0"/>
              <w:keepLines w:val="0"/>
              <w:pageBreakBefore w:val="0"/>
              <w:widowControl/>
              <w:kinsoku/>
              <w:wordWrap/>
              <w:overflowPunct w:val="0"/>
              <w:topLinePunct w:val="0"/>
              <w:bidi w:val="0"/>
              <w:snapToGrid w:val="0"/>
              <w:spacing w:after="0" w:line="240" w:lineRule="auto"/>
              <w:jc w:val="center"/>
              <w:rPr>
                <w:rFonts w:hint="eastAsia"/>
                <w:lang w:val="en-US" w:eastAsia="zh-CN"/>
              </w:rPr>
            </w:pP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4</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b w:val="0"/>
                <w:bCs w:val="0"/>
                <w:lang w:val="en-US" w:eastAsia="zh-CN"/>
              </w:rPr>
            </w:pPr>
            <w:r>
              <w:rPr>
                <w:rFonts w:hint="eastAsia"/>
                <w:b w:val="0"/>
                <w:bCs w:val="0"/>
                <w:lang w:val="en-US" w:eastAsia="zh-CN"/>
              </w:rPr>
              <w:t>4</w:t>
            </w:r>
            <w:r>
              <w:rPr>
                <w:b w:val="0"/>
                <w:bCs w:val="0"/>
                <w:lang w:val="en-US" w:eastAsia="zh-CN"/>
              </w:rPr>
              <w:t>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2722" w:type="dxa"/>
            <w:vMerge w:val="restart"/>
            <w:vAlign w:val="center"/>
          </w:tcPr>
          <w:p>
            <w:pPr>
              <w:keepNext w:val="0"/>
              <w:keepLines w:val="0"/>
              <w:pageBreakBefore w:val="0"/>
              <w:widowControl/>
              <w:kinsoku/>
              <w:wordWrap/>
              <w:overflowPunct w:val="0"/>
              <w:topLinePunct w:val="0"/>
              <w:bidi w:val="0"/>
              <w:snapToGrid w:val="0"/>
              <w:spacing w:after="0" w:line="240" w:lineRule="auto"/>
              <w:jc w:val="center"/>
              <w:rPr>
                <w:rFonts w:hint="eastAsia"/>
                <w:lang w:val="en-US" w:eastAsia="zh-CN"/>
              </w:rPr>
            </w:pPr>
            <w:r>
              <w:rPr>
                <w:rFonts w:hint="eastAsia"/>
                <w:lang w:val="en-US" w:eastAsia="zh-CN"/>
              </w:rPr>
              <w:t>Long distance Rural scenario</w:t>
            </w:r>
            <w:r>
              <w:rPr>
                <w:rFonts w:hint="eastAsia" w:eastAsia="宋体"/>
                <w:lang w:val="en-US" w:eastAsia="zh-CN"/>
              </w:rPr>
              <w:t>, 700MHz, O2O</w:t>
            </w: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eastAsia="宋体"/>
                <w:kern w:val="24"/>
                <w:sz w:val="20"/>
                <w:szCs w:val="20"/>
                <w:lang w:val="en-US" w:eastAsia="zh-CN"/>
              </w:rPr>
            </w:pPr>
            <w:r>
              <w:rPr>
                <w:rFonts w:hint="eastAsia" w:eastAsia="宋体"/>
                <w:kern w:val="24"/>
                <w:sz w:val="20"/>
                <w:szCs w:val="20"/>
                <w:lang w:val="en-US" w:eastAsia="zh-CN"/>
              </w:rPr>
              <w:t>2Rx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eastAsia="宋体"/>
                <w:kern w:val="24"/>
                <w:sz w:val="20"/>
                <w:szCs w:val="20"/>
                <w:lang w:val="en-US" w:eastAsia="zh-CN"/>
              </w:rPr>
            </w:pPr>
            <w:r>
              <w:rPr>
                <w:rFonts w:hint="eastAsia"/>
                <w:kern w:val="24"/>
                <w:sz w:val="20"/>
                <w:szCs w:val="2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2722" w:type="dxa"/>
            <w:vMerge w:val="continue"/>
            <w:vAlign w:val="top"/>
          </w:tcPr>
          <w:p>
            <w:pPr>
              <w:keepNext w:val="0"/>
              <w:keepLines w:val="0"/>
              <w:pageBreakBefore w:val="0"/>
              <w:widowControl/>
              <w:kinsoku/>
              <w:wordWrap/>
              <w:overflowPunct w:val="0"/>
              <w:topLinePunct w:val="0"/>
              <w:bidi w:val="0"/>
              <w:snapToGrid w:val="0"/>
              <w:spacing w:after="0" w:line="240" w:lineRule="auto"/>
              <w:jc w:val="left"/>
              <w:rPr>
                <w:rFonts w:hint="eastAsia"/>
                <w:lang w:val="en-US" w:eastAsia="zh-CN"/>
              </w:rPr>
            </w:pP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4</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宋体"/>
                <w:kern w:val="24"/>
                <w:sz w:val="20"/>
                <w:szCs w:val="20"/>
                <w:lang w:val="en-US" w:eastAsia="zh-CN"/>
              </w:rPr>
            </w:pPr>
            <w:r>
              <w:rPr>
                <w:b w:val="0"/>
                <w:bCs w:val="0"/>
                <w:lang w:val="en-US" w:eastAsia="zh-CN"/>
              </w:rPr>
              <w:t>2Rx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2722" w:type="dxa"/>
            <w:vMerge w:val="continue"/>
            <w:vAlign w:val="top"/>
          </w:tcPr>
          <w:p>
            <w:pPr>
              <w:keepNext w:val="0"/>
              <w:keepLines w:val="0"/>
              <w:pageBreakBefore w:val="0"/>
              <w:widowControl/>
              <w:kinsoku/>
              <w:wordWrap/>
              <w:overflowPunct w:val="0"/>
              <w:topLinePunct w:val="0"/>
              <w:bidi w:val="0"/>
              <w:snapToGrid w:val="0"/>
              <w:spacing w:after="0" w:line="240" w:lineRule="auto"/>
              <w:jc w:val="center"/>
              <w:rPr>
                <w:rFonts w:hint="eastAsia"/>
                <w:lang w:val="en-US" w:eastAsia="zh-CN"/>
              </w:rPr>
            </w:pP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eastAsia"/>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宋体"/>
                <w:kern w:val="24"/>
                <w:sz w:val="20"/>
                <w:szCs w:val="20"/>
                <w:lang w:val="en-US" w:eastAsia="zh-CN"/>
              </w:rPr>
            </w:pPr>
            <w:r>
              <w:rPr>
                <w:rFonts w:hint="eastAsia" w:eastAsia="宋体"/>
                <w:kern w:val="24"/>
                <w:sz w:val="20"/>
                <w:szCs w:val="20"/>
                <w:lang w:val="en-US" w:eastAsia="zh-CN"/>
              </w:rPr>
              <w:t>4Rx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trPr>
        <w:tc>
          <w:tcPr>
            <w:tcW w:w="2722" w:type="dxa"/>
            <w:vMerge w:val="continue"/>
            <w:vAlign w:val="top"/>
          </w:tcPr>
          <w:p>
            <w:pPr>
              <w:keepNext w:val="0"/>
              <w:keepLines w:val="0"/>
              <w:pageBreakBefore w:val="0"/>
              <w:widowControl/>
              <w:kinsoku/>
              <w:wordWrap/>
              <w:overflowPunct w:val="0"/>
              <w:topLinePunct w:val="0"/>
              <w:bidi w:val="0"/>
              <w:snapToGrid w:val="0"/>
              <w:spacing w:after="0" w:line="240" w:lineRule="auto"/>
              <w:jc w:val="center"/>
              <w:rPr>
                <w:rFonts w:hint="eastAsia"/>
                <w:lang w:val="en-US" w:eastAsia="zh-CN"/>
              </w:rPr>
            </w:pPr>
          </w:p>
        </w:tc>
        <w:tc>
          <w:tcPr>
            <w:tcW w:w="184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2</w:t>
            </w:r>
          </w:p>
        </w:tc>
        <w:tc>
          <w:tcPr>
            <w:tcW w:w="1734"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4</w:t>
            </w:r>
          </w:p>
        </w:tc>
        <w:tc>
          <w:tcPr>
            <w:tcW w:w="1734"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宋体"/>
                <w:kern w:val="24"/>
                <w:sz w:val="20"/>
                <w:szCs w:val="20"/>
                <w:lang w:val="en-US" w:eastAsia="zh-CN"/>
              </w:rPr>
            </w:pPr>
            <w:r>
              <w:rPr>
                <w:rFonts w:hint="eastAsia"/>
                <w:b w:val="0"/>
                <w:bCs w:val="0"/>
                <w:lang w:val="en-US" w:eastAsia="zh-CN"/>
              </w:rPr>
              <w:t>4</w:t>
            </w:r>
            <w:r>
              <w:rPr>
                <w:b w:val="0"/>
                <w:bCs w:val="0"/>
                <w:lang w:val="en-US" w:eastAsia="zh-CN"/>
              </w:rPr>
              <w:t>Rx</w:t>
            </w:r>
          </w:p>
        </w:tc>
        <w:tc>
          <w:tcPr>
            <w:tcW w:w="1733" w:type="dxa"/>
            <w:vAlign w:val="center"/>
          </w:tcPr>
          <w:p>
            <w:pPr>
              <w:pStyle w:val="46"/>
              <w:keepNext w:val="0"/>
              <w:keepLines w:val="0"/>
              <w:pageBreakBefore w:val="0"/>
              <w:widowControl/>
              <w:kinsoku/>
              <w:wordWrap/>
              <w:overflowPunct w:val="0"/>
              <w:topLinePunct w:val="0"/>
              <w:bidi w:val="0"/>
              <w:snapToGrid w:val="0"/>
              <w:spacing w:before="0" w:beforeAutospacing="0" w:after="0" w:afterAutospacing="0" w:line="240" w:lineRule="auto"/>
              <w:jc w:val="center"/>
              <w:rPr>
                <w:rFonts w:hint="default"/>
                <w:kern w:val="24"/>
                <w:sz w:val="20"/>
                <w:szCs w:val="20"/>
                <w:lang w:val="en-US" w:eastAsia="zh-CN"/>
              </w:rPr>
            </w:pPr>
            <w:r>
              <w:rPr>
                <w:rFonts w:hint="eastAsia"/>
                <w:kern w:val="24"/>
                <w:sz w:val="20"/>
                <w:szCs w:val="20"/>
                <w:lang w:val="en-US" w:eastAsia="zh-CN"/>
              </w:rPr>
              <w:t>-14.66</w:t>
            </w:r>
          </w:p>
        </w:tc>
      </w:tr>
    </w:tbl>
    <w:p>
      <w:pPr>
        <w:keepNext w:val="0"/>
        <w:keepLines w:val="0"/>
        <w:pageBreakBefore w:val="0"/>
        <w:widowControl/>
        <w:kinsoku/>
        <w:wordWrap/>
        <w:overflowPunct w:val="0"/>
        <w:topLinePunct w:val="0"/>
        <w:bidi w:val="0"/>
        <w:snapToGrid w:val="0"/>
        <w:spacing w:after="0" w:line="240" w:lineRule="auto"/>
      </w:pPr>
    </w:p>
    <w:p>
      <w:pPr>
        <w:rPr>
          <w:rFonts w:hint="eastAsia"/>
          <w:lang w:eastAsia="zh-CN"/>
        </w:rPr>
      </w:pPr>
      <w:r>
        <w:rPr>
          <w:rFonts w:hint="eastAsia"/>
          <w:lang w:eastAsia="zh-CN"/>
        </w:rPr>
        <w:t xml:space="preserve">Based on Table </w:t>
      </w:r>
      <w:r>
        <w:rPr>
          <w:rFonts w:hint="eastAsia"/>
          <w:highlight w:val="none"/>
          <w:lang w:val="en-US" w:eastAsia="zh-CN"/>
        </w:rPr>
        <w:t>1</w:t>
      </w:r>
      <w:r>
        <w:rPr>
          <w:rFonts w:hint="eastAsia"/>
          <w:highlight w:val="none"/>
          <w:lang w:eastAsia="zh-CN"/>
        </w:rPr>
        <w:t>,</w:t>
      </w:r>
      <w:r>
        <w:rPr>
          <w:rFonts w:hint="eastAsia"/>
          <w:lang w:eastAsia="zh-CN"/>
        </w:rPr>
        <w:t xml:space="preserve"> </w:t>
      </w:r>
      <w:r>
        <w:rPr>
          <w:rFonts w:hint="eastAsia"/>
          <w:lang w:val="en-US" w:eastAsia="zh-CN"/>
        </w:rPr>
        <w:t>Msg3 PUSCH with 4 repetitions can provide about 5~5.5 dB gain over one repetition for rural scenario and long distance rural scenario with different Rx</w:t>
      </w:r>
      <w:r>
        <w:rPr>
          <w:rFonts w:hint="eastAsia"/>
          <w:lang w:eastAsia="zh-CN"/>
        </w:rPr>
        <w:t>.</w:t>
      </w:r>
    </w:p>
    <w:p>
      <w:pPr>
        <w:rPr>
          <w:rFonts w:hint="default" w:eastAsia="宋体"/>
          <w:b w:val="0"/>
          <w:bCs w:val="0"/>
          <w:i/>
          <w:iCs/>
          <w:lang w:val="en-US" w:eastAsia="zh-CN"/>
        </w:rPr>
      </w:pPr>
      <w:r>
        <w:rPr>
          <w:rFonts w:hint="eastAsia"/>
          <w:b/>
          <w:bCs/>
          <w:i/>
          <w:iCs/>
          <w:lang w:val="en-US" w:eastAsia="zh-CN"/>
        </w:rPr>
        <w:t xml:space="preserve">Observation 1: </w:t>
      </w:r>
      <w:r>
        <w:rPr>
          <w:rFonts w:ascii="Times" w:hAnsi="Times" w:cs="Times"/>
          <w:b w:val="0"/>
          <w:bCs w:val="0"/>
          <w:i/>
          <w:iCs/>
        </w:rPr>
        <w:t>MSG3 PUSCH repetition</w:t>
      </w:r>
      <w:r>
        <w:rPr>
          <w:rFonts w:hint="eastAsia" w:ascii="Times" w:hAnsi="Times" w:cs="Times"/>
          <w:b w:val="0"/>
          <w:bCs w:val="0"/>
          <w:i/>
          <w:iCs/>
          <w:lang w:val="en-US" w:eastAsia="zh-CN"/>
        </w:rPr>
        <w:t xml:space="preserve"> can provide significant performance improvement.</w:t>
      </w:r>
    </w:p>
    <w:p>
      <w:pPr>
        <w:rPr>
          <w:rFonts w:ascii="Times" w:hAnsi="Times" w:cs="Times"/>
          <w:b w:val="0"/>
          <w:bCs w:val="0"/>
          <w:i/>
          <w:iCs w:val="0"/>
        </w:rPr>
      </w:pPr>
      <w:r>
        <w:rPr>
          <w:rFonts w:ascii="Times" w:hAnsi="Times" w:cs="Times"/>
          <w:b/>
          <w:bCs/>
          <w:i/>
          <w:iCs w:val="0"/>
        </w:rPr>
        <w:t xml:space="preserve">Proposal </w:t>
      </w:r>
      <w:r>
        <w:rPr>
          <w:rFonts w:hint="eastAsia" w:ascii="Times" w:hAnsi="Times" w:cs="Times"/>
          <w:b/>
          <w:bCs/>
          <w:i/>
          <w:iCs w:val="0"/>
          <w:highlight w:val="none"/>
          <w:lang w:val="en-US" w:eastAsia="zh-CN"/>
        </w:rPr>
        <w:t>7</w:t>
      </w:r>
      <w:r>
        <w:rPr>
          <w:rFonts w:ascii="Times" w:hAnsi="Times" w:cs="Times"/>
          <w:b/>
          <w:bCs/>
          <w:i/>
          <w:iCs w:val="0"/>
        </w:rPr>
        <w:t xml:space="preserve">: </w:t>
      </w:r>
      <w:r>
        <w:rPr>
          <w:rFonts w:ascii="Times" w:hAnsi="Times" w:cs="Times"/>
          <w:b w:val="0"/>
          <w:bCs w:val="0"/>
          <w:i/>
          <w:iCs w:val="0"/>
        </w:rPr>
        <w:t>MSG3 PUSCH repetition can be considered for coverage enhancement.</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rPr>
          <w:rFonts w:hint="eastAsia"/>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rFonts w:hint="eastAsia"/>
          <w:i/>
          <w:iCs/>
          <w:lang w:val="en-US" w:eastAsia="zh-CN"/>
        </w:rPr>
        <w:t xml:space="preserve">Study compact fallback DCI </w:t>
      </w:r>
      <w:r>
        <w:rPr>
          <w:rFonts w:hint="eastAsia"/>
          <w:i/>
          <w:iCs/>
          <w:lang w:eastAsia="zh-CN"/>
        </w:rPr>
        <w:t xml:space="preserve">for </w:t>
      </w:r>
      <w:r>
        <w:rPr>
          <w:rFonts w:hint="eastAsia"/>
          <w:i/>
          <w:iCs/>
          <w:lang w:val="en-US" w:eastAsia="zh-CN"/>
        </w:rPr>
        <w:t>broadcast PDCCH</w:t>
      </w:r>
      <w:r>
        <w:rPr>
          <w:rFonts w:hint="eastAsia"/>
          <w:i/>
          <w:iCs/>
          <w:lang w:eastAsia="zh-CN"/>
        </w:rPr>
        <w:t xml:space="preserve"> coverage enhancement.</w:t>
      </w:r>
    </w:p>
    <w:p>
      <w:pPr>
        <w:tabs>
          <w:tab w:val="left" w:pos="4000"/>
        </w:tabs>
        <w:rPr>
          <w:rFonts w:hint="eastAsia"/>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eastAsia="zh-CN"/>
        </w:rPr>
        <w:t xml:space="preserve">PDCCH repetition can be considered for </w:t>
      </w:r>
      <w:r>
        <w:rPr>
          <w:rFonts w:hint="eastAsia"/>
          <w:i/>
          <w:iCs/>
          <w:lang w:val="en-US" w:eastAsia="zh-CN"/>
        </w:rPr>
        <w:t>PDCCH</w:t>
      </w:r>
      <w:r>
        <w:rPr>
          <w:rFonts w:hint="eastAsia"/>
          <w:i/>
          <w:iCs/>
          <w:lang w:eastAsia="zh-CN"/>
        </w:rPr>
        <w:t xml:space="preserve"> coverage enhancement.</w:t>
      </w:r>
    </w:p>
    <w:p>
      <w:pPr>
        <w:rPr>
          <w:rFonts w:hint="eastAsia"/>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bCs/>
          <w:i/>
          <w:iCs/>
          <w:lang w:val="en-US" w:eastAsia="zh-CN"/>
        </w:rPr>
        <w:t xml:space="preserve"> </w:t>
      </w:r>
      <w:r>
        <w:rPr>
          <w:rFonts w:hint="eastAsia"/>
          <w:i/>
          <w:iCs/>
          <w:lang w:eastAsia="zh-CN"/>
        </w:rPr>
        <w:t>PDCCH</w:t>
      </w:r>
      <w:r>
        <w:rPr>
          <w:rFonts w:hint="eastAsia"/>
          <w:i/>
          <w:iCs/>
          <w:lang w:val="en-US" w:eastAsia="zh-CN"/>
        </w:rPr>
        <w:t>-less</w:t>
      </w:r>
      <w:r>
        <w:rPr>
          <w:rFonts w:hint="eastAsia"/>
          <w:i/>
          <w:iCs/>
          <w:lang w:eastAsia="zh-CN"/>
        </w:rPr>
        <w:t xml:space="preserve"> </w:t>
      </w:r>
      <w:r>
        <w:rPr>
          <w:rFonts w:hint="eastAsia"/>
          <w:i/>
          <w:iCs/>
          <w:lang w:val="en-US" w:eastAsia="zh-CN"/>
        </w:rPr>
        <w:t xml:space="preserve">for broadcast messages can be </w:t>
      </w:r>
      <w:r>
        <w:rPr>
          <w:rFonts w:hint="eastAsia"/>
          <w:i/>
          <w:iCs/>
          <w:lang w:eastAsia="zh-CN"/>
        </w:rPr>
        <w:t xml:space="preserve">considered </w:t>
      </w:r>
      <w:r>
        <w:rPr>
          <w:rFonts w:hint="eastAsia"/>
          <w:i/>
          <w:iCs/>
          <w:lang w:val="en-US" w:eastAsia="zh-CN"/>
        </w:rPr>
        <w:t>for NR</w:t>
      </w:r>
      <w:r>
        <w:rPr>
          <w:rFonts w:hint="eastAsia"/>
          <w:i/>
          <w:iCs/>
          <w:lang w:eastAsia="zh-CN"/>
        </w:rPr>
        <w:t xml:space="preserve"> coverage enhancement.</w:t>
      </w:r>
    </w:p>
    <w:p>
      <w:pPr>
        <w:rPr>
          <w:rFonts w:hint="default"/>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i/>
          <w:iCs/>
          <w:lang w:val="en-US" w:eastAsia="zh-CN"/>
        </w:rPr>
        <w:t>Increasing SSB number can be considered for NR coverage enhancement.</w:t>
      </w:r>
    </w:p>
    <w:p>
      <w:pPr>
        <w:pStyle w:val="28"/>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lang w:val="en-GB" w:eastAsia="en-US"/>
        </w:rPr>
      </w:pPr>
      <w:r>
        <w:rPr>
          <w:b/>
          <w:bCs w:val="0"/>
          <w:i/>
        </w:rPr>
        <w:t>Proposal</w:t>
      </w:r>
      <w:r>
        <w:rPr>
          <w:b/>
          <w:bCs w:val="0"/>
          <w:i/>
          <w:lang w:eastAsia="zh-CN"/>
        </w:rPr>
        <w:t xml:space="preserve"> </w:t>
      </w:r>
      <w:r>
        <w:rPr>
          <w:rFonts w:hint="eastAsia"/>
          <w:b/>
          <w:bCs w:val="0"/>
          <w:i/>
          <w:lang w:val="en-US" w:eastAsia="zh-CN"/>
        </w:rPr>
        <w:t>5</w:t>
      </w:r>
      <w:r>
        <w:rPr>
          <w:b/>
          <w:bCs w:val="0"/>
          <w:i/>
        </w:rPr>
        <w:t xml:space="preserve">: </w:t>
      </w:r>
      <w:r>
        <w:rPr>
          <w:rFonts w:hint="eastAsia"/>
          <w:b w:val="0"/>
          <w:bCs/>
          <w:i/>
          <w:lang w:val="en-US" w:eastAsia="zh-CN"/>
        </w:rPr>
        <w:t xml:space="preserve">Multiple </w:t>
      </w:r>
      <w:r>
        <w:rPr>
          <w:b w:val="0"/>
          <w:bCs/>
          <w:i/>
        </w:rPr>
        <w:t>Msg.1 transmission</w:t>
      </w:r>
      <w:r>
        <w:rPr>
          <w:rFonts w:hint="eastAsia"/>
          <w:b w:val="0"/>
          <w:bCs/>
          <w:i/>
          <w:lang w:val="en-US" w:eastAsia="zh-CN"/>
        </w:rPr>
        <w:t>s</w:t>
      </w:r>
      <w:r>
        <w:rPr>
          <w:b w:val="0"/>
          <w:bCs/>
          <w:i/>
        </w:rPr>
        <w:t xml:space="preserve"> before the end of a monitored Msg.2 reception window</w:t>
      </w:r>
      <w:r>
        <w:rPr>
          <w:rFonts w:hint="eastAsia"/>
          <w:b w:val="0"/>
          <w:bCs/>
          <w:i/>
          <w:lang w:val="en-US" w:eastAsia="zh-CN"/>
        </w:rPr>
        <w:t xml:space="preserve"> can be considered. </w:t>
      </w:r>
      <w:r>
        <w:rPr>
          <w:b w:val="0"/>
          <w:bCs/>
          <w:i/>
        </w:rPr>
        <w:t xml:space="preserve"> </w:t>
      </w:r>
    </w:p>
    <w:p>
      <w:pPr>
        <w:rPr>
          <w:rFonts w:hint="default"/>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b w:val="0"/>
          <w:bCs w:val="0"/>
          <w:i/>
          <w:iCs/>
          <w:lang w:val="en-US" w:eastAsia="zh-CN"/>
        </w:rPr>
        <w:t>B</w:t>
      </w:r>
      <w:r>
        <w:rPr>
          <w:rFonts w:hint="eastAsia"/>
          <w:i/>
          <w:iCs/>
          <w:lang w:val="en-US" w:eastAsia="zh-CN"/>
        </w:rPr>
        <w:t>eam refinement based on CSI-RS measurement during RACH procedure can be considered.</w:t>
      </w:r>
    </w:p>
    <w:p>
      <w:pPr>
        <w:rPr>
          <w:rFonts w:hint="default" w:eastAsia="宋体"/>
          <w:b w:val="0"/>
          <w:bCs w:val="0"/>
          <w:i/>
          <w:iCs/>
          <w:lang w:val="en-US" w:eastAsia="zh-CN"/>
        </w:rPr>
      </w:pPr>
      <w:r>
        <w:rPr>
          <w:rFonts w:hint="eastAsia"/>
          <w:b/>
          <w:bCs/>
          <w:i/>
          <w:iCs/>
          <w:lang w:val="en-US" w:eastAsia="zh-CN"/>
        </w:rPr>
        <w:t xml:space="preserve">Observation 1: </w:t>
      </w:r>
      <w:r>
        <w:rPr>
          <w:rFonts w:ascii="Times" w:hAnsi="Times" w:cs="Times"/>
          <w:b w:val="0"/>
          <w:bCs w:val="0"/>
          <w:i/>
          <w:iCs/>
        </w:rPr>
        <w:t>MSG3 PUSCH repetition</w:t>
      </w:r>
      <w:r>
        <w:rPr>
          <w:rFonts w:hint="eastAsia" w:ascii="Times" w:hAnsi="Times" w:cs="Times"/>
          <w:b w:val="0"/>
          <w:bCs w:val="0"/>
          <w:i/>
          <w:iCs/>
          <w:lang w:val="en-US" w:eastAsia="zh-CN"/>
        </w:rPr>
        <w:t xml:space="preserve"> can provide significant performance improvement.</w:t>
      </w:r>
    </w:p>
    <w:p>
      <w:pPr>
        <w:rPr>
          <w:rFonts w:hint="default"/>
          <w:i/>
          <w:iCs/>
          <w:lang w:val="en-US" w:eastAsia="zh-CN"/>
        </w:rPr>
      </w:pPr>
      <w:r>
        <w:rPr>
          <w:rFonts w:ascii="Times" w:hAnsi="Times" w:cs="Times"/>
          <w:b/>
          <w:bCs/>
          <w:i/>
          <w:iCs w:val="0"/>
        </w:rPr>
        <w:t xml:space="preserve">Proposal </w:t>
      </w:r>
      <w:r>
        <w:rPr>
          <w:rFonts w:hint="eastAsia" w:ascii="Times" w:hAnsi="Times" w:cs="Times"/>
          <w:b/>
          <w:bCs/>
          <w:i/>
          <w:iCs w:val="0"/>
          <w:highlight w:val="none"/>
          <w:lang w:val="en-US" w:eastAsia="zh-CN"/>
        </w:rPr>
        <w:t>7</w:t>
      </w:r>
      <w:r>
        <w:rPr>
          <w:rFonts w:ascii="Times" w:hAnsi="Times" w:cs="Times"/>
          <w:b/>
          <w:bCs/>
          <w:i/>
          <w:iCs w:val="0"/>
        </w:rPr>
        <w:t xml:space="preserve">: </w:t>
      </w:r>
      <w:r>
        <w:rPr>
          <w:rFonts w:ascii="Times" w:hAnsi="Times" w:cs="Times"/>
          <w:b w:val="0"/>
          <w:bCs w:val="0"/>
          <w:i/>
          <w:iCs w:val="0"/>
        </w:rPr>
        <w:t>MSG3 PUSCH repetition can be considered for coverage enhancement.</w:t>
      </w:r>
    </w:p>
    <w:p>
      <w:pPr>
        <w:pStyle w:val="2"/>
        <w:rPr>
          <w:lang w:eastAsia="zh-CN"/>
        </w:rPr>
      </w:pPr>
      <w:r>
        <w:rPr>
          <w:rFonts w:hint="eastAsia"/>
          <w:lang w:eastAsia="zh-CN"/>
        </w:rPr>
        <w:t>R</w:t>
      </w:r>
      <w:r>
        <w:rPr>
          <w:lang w:eastAsia="zh-CN"/>
        </w:rPr>
        <w:t>eference</w:t>
      </w:r>
    </w:p>
    <w:p>
      <w:pPr>
        <w:pStyle w:val="126"/>
        <w:rPr>
          <w:sz w:val="21"/>
          <w:highlight w:val="none"/>
          <w:lang w:eastAsia="zh-CN"/>
        </w:rPr>
      </w:pPr>
      <w:bookmarkStart w:id="3" w:name="_Ref525119031"/>
      <w:r>
        <w:rPr>
          <w:sz w:val="21"/>
          <w:lang w:eastAsia="zh-CN"/>
        </w:rPr>
        <w:t xml:space="preserve">3GPP RP-193240, “New SID on NR coverage enhancement”, China Telecom, RAN#86, Sitges, Spain, </w:t>
      </w:r>
      <w:r>
        <w:rPr>
          <w:sz w:val="21"/>
          <w:highlight w:val="none"/>
          <w:lang w:eastAsia="zh-CN"/>
        </w:rPr>
        <w:t>December 9th – 12th, 2019</w:t>
      </w:r>
      <w:r>
        <w:rPr>
          <w:rFonts w:hint="eastAsia"/>
          <w:sz w:val="21"/>
          <w:highlight w:val="none"/>
          <w:lang w:eastAsia="zh-CN"/>
        </w:rPr>
        <w:t>.</w:t>
      </w:r>
      <w:bookmarkEnd w:id="3"/>
    </w:p>
    <w:p>
      <w:pPr>
        <w:pStyle w:val="126"/>
        <w:rPr>
          <w:sz w:val="21"/>
          <w:highlight w:val="none"/>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 xml:space="preserve">-e, </w:t>
      </w:r>
      <w:r>
        <w:rPr>
          <w:rFonts w:hint="eastAsia"/>
          <w:sz w:val="21"/>
          <w:highlight w:val="none"/>
          <w:lang w:eastAsia="zh-CN"/>
        </w:rPr>
        <w:t>R1-2005425</w:t>
      </w:r>
      <w:r>
        <w:rPr>
          <w:rFonts w:hint="eastAsia"/>
          <w:sz w:val="21"/>
          <w:highlight w:val="none"/>
          <w:lang w:eastAsia="zh-CN"/>
        </w:rPr>
        <w:t>, Discussion on baseline coverage performance for FR1, ZTE</w:t>
      </w:r>
    </w:p>
    <w:p>
      <w:pPr>
        <w:pStyle w:val="126"/>
        <w:rPr>
          <w:sz w:val="21"/>
          <w:highlight w:val="none"/>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 xml:space="preserve">-e, </w:t>
      </w:r>
      <w:r>
        <w:rPr>
          <w:rFonts w:hint="eastAsia"/>
          <w:sz w:val="21"/>
          <w:highlight w:val="none"/>
          <w:lang w:eastAsia="zh-CN"/>
        </w:rPr>
        <w:t>R1-2005425</w:t>
      </w:r>
      <w:r>
        <w:rPr>
          <w:rFonts w:hint="eastAsia"/>
          <w:sz w:val="21"/>
          <w:highlight w:val="none"/>
          <w:lang w:val="en-US" w:eastAsia="zh-CN"/>
        </w:rPr>
        <w:t>6</w:t>
      </w:r>
      <w:r>
        <w:rPr>
          <w:rFonts w:hint="eastAsia"/>
          <w:sz w:val="21"/>
          <w:highlight w:val="none"/>
          <w:lang w:eastAsia="zh-CN"/>
        </w:rPr>
        <w:t>, Discussion on baseline coverage performance for FR2, ZTE</w:t>
      </w:r>
    </w:p>
    <w:p>
      <w:pPr>
        <w:pStyle w:val="126"/>
        <w:rPr>
          <w:sz w:val="21"/>
          <w:highlight w:val="none"/>
          <w:lang w:eastAsia="zh-CN"/>
        </w:rPr>
      </w:pPr>
      <w:r>
        <w:rPr>
          <w:rFonts w:hint="eastAsia"/>
          <w:sz w:val="21"/>
          <w:highlight w:val="none"/>
          <w:lang w:eastAsia="zh-CN"/>
        </w:rPr>
        <w:t xml:space="preserve">3GPP </w:t>
      </w:r>
      <w:r>
        <w:rPr>
          <w:rFonts w:hint="eastAsia"/>
          <w:sz w:val="21"/>
          <w:highlight w:val="none"/>
          <w:lang w:eastAsia="zh-CN"/>
        </w:rPr>
        <w:t>T</w:t>
      </w:r>
      <w:r>
        <w:rPr>
          <w:rFonts w:hint="eastAsia"/>
          <w:sz w:val="21"/>
          <w:highlight w:val="none"/>
          <w:lang w:val="en-US" w:eastAsia="zh-CN"/>
        </w:rPr>
        <w:t>S 38.824</w:t>
      </w:r>
      <w:r>
        <w:rPr>
          <w:rFonts w:hint="eastAsia"/>
          <w:sz w:val="21"/>
          <w:highlight w:val="none"/>
          <w:lang w:eastAsia="zh-CN"/>
        </w:rPr>
        <w:t xml:space="preserve">, </w:t>
      </w:r>
      <w:r>
        <w:rPr>
          <w:rFonts w:hint="eastAsia"/>
        </w:rPr>
        <w:t>Study on physical layer enhancements for NR ultra-reliable and low latency case (URLLC)</w:t>
      </w:r>
      <w:r>
        <w:rPr>
          <w:rFonts w:hint="eastAsia"/>
          <w:sz w:val="21"/>
          <w:highlight w:val="none"/>
          <w:lang w:eastAsia="zh-CN"/>
        </w:rPr>
        <w:t xml:space="preserve">, </w:t>
      </w:r>
      <w:r>
        <w:rPr>
          <w:rFonts w:hint="eastAsia"/>
          <w:sz w:val="21"/>
          <w:highlight w:val="none"/>
          <w:lang w:val="en-US" w:eastAsia="zh-CN"/>
        </w:rPr>
        <w:t>Release 16.</w:t>
      </w:r>
    </w:p>
    <w:p>
      <w:pPr>
        <w:pStyle w:val="126"/>
        <w:rPr>
          <w:sz w:val="21"/>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-e, R1-2003338, Discussion on baseline coverage performance for FR1, ZTE</w:t>
      </w:r>
      <w:r>
        <w:rPr>
          <w:rFonts w:hint="eastAsia"/>
          <w:sz w:val="21"/>
          <w:highlight w:val="none"/>
          <w:lang w:val="en-US" w:eastAsia="zh-CN"/>
        </w:rPr>
        <w:t>.</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szCs w:val="20"/>
          <w:lang w:val="en-US" w:eastAsia="zh-CN"/>
        </w:rPr>
        <w:t>Msg3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Layout w:type="fixed"/>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Layout w:type="fixed"/>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cs="Times New Roman"/>
                <w:color w:val="000000"/>
                <w:sz w:val="20"/>
                <w:szCs w:val="20"/>
                <w:lang w:val="en-US" w:eastAsia="zh-CN"/>
              </w:rPr>
            </w:pPr>
            <w:r>
              <w:rPr>
                <w:rFonts w:hint="default" w:ascii="Times New Roman" w:hAnsi="Times New Roman" w:cs="Times New Roman"/>
                <w:color w:val="000000"/>
                <w:sz w:val="20"/>
                <w:szCs w:val="20"/>
              </w:rPr>
              <w:t>TDL-C (delay spread: 300ns) as in 38.901 for </w:t>
            </w:r>
            <w:r>
              <w:rPr>
                <w:rFonts w:hint="eastAsia"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r>
              <w:rPr>
                <w:rFonts w:hint="eastAsia" w:cs="Times New Roman"/>
                <w:color w:val="000000"/>
                <w:sz w:val="20"/>
                <w:szCs w:val="20"/>
                <w:lang w:val="en-US" w:eastAsia="zh-CN"/>
              </w:rPr>
              <w:t xml:space="preserve"> </w:t>
            </w:r>
          </w:p>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w:t>
            </w:r>
            <w:r>
              <w:rPr>
                <w:rFonts w:hint="eastAsia" w:cs="Times New Roman"/>
                <w:color w:val="000000"/>
                <w:sz w:val="20"/>
                <w:szCs w:val="20"/>
                <w:lang w:val="en-US" w:eastAsia="zh-CN"/>
              </w:rPr>
              <w:t>D</w:t>
            </w:r>
            <w:r>
              <w:rPr>
                <w:rFonts w:hint="default" w:ascii="Times New Roman" w:hAnsi="Times New Roman" w:cs="Times New Roman"/>
                <w:color w:val="000000"/>
                <w:sz w:val="20"/>
                <w:szCs w:val="20"/>
              </w:rPr>
              <w:t> (delay spread: 30ns) as in 38.901 for </w:t>
            </w:r>
            <w:r>
              <w:rPr>
                <w:rFonts w:hint="eastAsia" w:cs="Times New Roman"/>
                <w:color w:val="000000"/>
                <w:sz w:val="20"/>
                <w:szCs w:val="20"/>
                <w:lang w:val="en-US" w:eastAsia="zh-CN"/>
              </w:rPr>
              <w:t>long distance Rural scenario</w:t>
            </w:r>
          </w:p>
        </w:tc>
      </w:tr>
      <w:tr>
        <w:tblPrEx>
          <w:tblLayout w:type="fixed"/>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120 km/h</w:t>
            </w:r>
            <w:r>
              <w:rPr>
                <w:rFonts w:hint="eastAsia" w:ascii="Times New Roman" w:hAnsi="Times New Roman" w:cs="Times New Roman"/>
                <w:color w:val="000000"/>
                <w:sz w:val="20"/>
                <w:szCs w:val="20"/>
                <w:lang w:val="en-US" w:eastAsia="zh-CN"/>
              </w:rPr>
              <w:t xml:space="preserve"> </w:t>
            </w:r>
          </w:p>
        </w:tc>
      </w:tr>
      <w:tr>
        <w:tblPrEx>
          <w:tblLayout w:type="fixed"/>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2 Rx </w:t>
            </w:r>
            <w:r>
              <w:rPr>
                <w:rFonts w:hint="eastAsia" w:cs="Times New Roman"/>
                <w:color w:val="000000"/>
                <w:sz w:val="20"/>
                <w:szCs w:val="20"/>
                <w:lang w:val="en-US" w:eastAsia="zh-CN"/>
              </w:rPr>
              <w:t>/ 4Rx</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cs="Times New Roman"/>
                <w:color w:val="000000"/>
                <w:sz w:val="20"/>
                <w:szCs w:val="20"/>
                <w:lang w:val="en-US" w:eastAsia="zh-CN"/>
              </w:rPr>
              <w:t>2</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 DMRS symbol per hop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color w:val="000000"/>
                <w:sz w:val="20"/>
                <w:szCs w:val="20"/>
                <w:lang w:val="en-US" w:eastAsia="zh-CN"/>
              </w:rPr>
              <w:t>4</w:t>
            </w:r>
            <w:r>
              <w:rPr>
                <w:rFonts w:hint="eastAsia" w:ascii="Times New Roman" w:hAnsi="Times New Roman" w:cs="Times New Roman"/>
                <w:color w:val="000000"/>
                <w:sz w:val="20"/>
                <w:szCs w:val="20"/>
                <w:lang w:val="en-US" w:eastAsia="zh-CN"/>
              </w:rPr>
              <w:t xml:space="preserve"> </w:t>
            </w:r>
          </w:p>
        </w:tc>
      </w:tr>
      <w:tr>
        <w:tblPrEx>
          <w:tblLayout w:type="fixed"/>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Practical</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MMSE</w:t>
            </w:r>
          </w:p>
        </w:tc>
      </w:tr>
    </w:tbl>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59E4A65"/>
    <w:multiLevelType w:val="multilevel"/>
    <w:tmpl w:val="259E4A65"/>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225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EB3A92"/>
    <w:rsid w:val="020F7BE6"/>
    <w:rsid w:val="022B670C"/>
    <w:rsid w:val="02737E73"/>
    <w:rsid w:val="027E4A28"/>
    <w:rsid w:val="02811D65"/>
    <w:rsid w:val="0284643E"/>
    <w:rsid w:val="029B7F05"/>
    <w:rsid w:val="02C431D1"/>
    <w:rsid w:val="02E51F96"/>
    <w:rsid w:val="03023110"/>
    <w:rsid w:val="03532C3F"/>
    <w:rsid w:val="035F79EB"/>
    <w:rsid w:val="036A2B26"/>
    <w:rsid w:val="03B25C4C"/>
    <w:rsid w:val="03D12146"/>
    <w:rsid w:val="03D24EAD"/>
    <w:rsid w:val="03F94E83"/>
    <w:rsid w:val="03FC4856"/>
    <w:rsid w:val="041C778B"/>
    <w:rsid w:val="04217C18"/>
    <w:rsid w:val="047E59D0"/>
    <w:rsid w:val="048B7799"/>
    <w:rsid w:val="048F11FF"/>
    <w:rsid w:val="04A2712F"/>
    <w:rsid w:val="04B72387"/>
    <w:rsid w:val="050D4324"/>
    <w:rsid w:val="06045E70"/>
    <w:rsid w:val="060A4922"/>
    <w:rsid w:val="06360315"/>
    <w:rsid w:val="067D4C1C"/>
    <w:rsid w:val="06B127E5"/>
    <w:rsid w:val="06EB27E8"/>
    <w:rsid w:val="0705530E"/>
    <w:rsid w:val="070E2577"/>
    <w:rsid w:val="072F2729"/>
    <w:rsid w:val="07722C34"/>
    <w:rsid w:val="077E7782"/>
    <w:rsid w:val="078F6F15"/>
    <w:rsid w:val="07B35775"/>
    <w:rsid w:val="07C21FA9"/>
    <w:rsid w:val="07D06D7A"/>
    <w:rsid w:val="07DD5AB3"/>
    <w:rsid w:val="07F9718A"/>
    <w:rsid w:val="08252D8E"/>
    <w:rsid w:val="08346640"/>
    <w:rsid w:val="083E6D2C"/>
    <w:rsid w:val="08476CF8"/>
    <w:rsid w:val="08891F5A"/>
    <w:rsid w:val="08A871B9"/>
    <w:rsid w:val="092A0C39"/>
    <w:rsid w:val="0957797D"/>
    <w:rsid w:val="096B6A5A"/>
    <w:rsid w:val="0972706B"/>
    <w:rsid w:val="09860267"/>
    <w:rsid w:val="098678CD"/>
    <w:rsid w:val="09A342F4"/>
    <w:rsid w:val="09C21BB6"/>
    <w:rsid w:val="09E95BA2"/>
    <w:rsid w:val="0A046E11"/>
    <w:rsid w:val="0A293A5D"/>
    <w:rsid w:val="0ACB4D16"/>
    <w:rsid w:val="0AFC60B7"/>
    <w:rsid w:val="0B6F6E61"/>
    <w:rsid w:val="0BAD56E4"/>
    <w:rsid w:val="0BAD7041"/>
    <w:rsid w:val="0C1551CE"/>
    <w:rsid w:val="0C1B4F3E"/>
    <w:rsid w:val="0C56233F"/>
    <w:rsid w:val="0C6F5654"/>
    <w:rsid w:val="0CB77457"/>
    <w:rsid w:val="0CE37C3D"/>
    <w:rsid w:val="0D057B3F"/>
    <w:rsid w:val="0D132BA9"/>
    <w:rsid w:val="0D660AC2"/>
    <w:rsid w:val="0D672BF6"/>
    <w:rsid w:val="0DA47121"/>
    <w:rsid w:val="0DC10615"/>
    <w:rsid w:val="0DCE068D"/>
    <w:rsid w:val="0DDC43A1"/>
    <w:rsid w:val="0E120AD5"/>
    <w:rsid w:val="0E3754E8"/>
    <w:rsid w:val="0E933444"/>
    <w:rsid w:val="0E9A4B90"/>
    <w:rsid w:val="0EB06FFE"/>
    <w:rsid w:val="0EF57D78"/>
    <w:rsid w:val="0F0A50A1"/>
    <w:rsid w:val="0F1D01AC"/>
    <w:rsid w:val="0F2A272E"/>
    <w:rsid w:val="0F973CB6"/>
    <w:rsid w:val="0FC166A9"/>
    <w:rsid w:val="0FC817D7"/>
    <w:rsid w:val="0FFE683F"/>
    <w:rsid w:val="10150A41"/>
    <w:rsid w:val="101B366C"/>
    <w:rsid w:val="102D15F4"/>
    <w:rsid w:val="10BE60B3"/>
    <w:rsid w:val="10D80AE3"/>
    <w:rsid w:val="10EE5096"/>
    <w:rsid w:val="11087971"/>
    <w:rsid w:val="111C6B8C"/>
    <w:rsid w:val="11381BCB"/>
    <w:rsid w:val="11653C6F"/>
    <w:rsid w:val="117E25DB"/>
    <w:rsid w:val="119C22B6"/>
    <w:rsid w:val="11EE2ABD"/>
    <w:rsid w:val="1257267A"/>
    <w:rsid w:val="12A472D8"/>
    <w:rsid w:val="12B47087"/>
    <w:rsid w:val="12DE4561"/>
    <w:rsid w:val="12FE321B"/>
    <w:rsid w:val="130859B8"/>
    <w:rsid w:val="1316061F"/>
    <w:rsid w:val="134C196B"/>
    <w:rsid w:val="135349F3"/>
    <w:rsid w:val="1380021A"/>
    <w:rsid w:val="14054947"/>
    <w:rsid w:val="141F2191"/>
    <w:rsid w:val="14380455"/>
    <w:rsid w:val="14970691"/>
    <w:rsid w:val="157028B9"/>
    <w:rsid w:val="1575AEB2"/>
    <w:rsid w:val="1579497C"/>
    <w:rsid w:val="15824EE1"/>
    <w:rsid w:val="15C0038A"/>
    <w:rsid w:val="15CC20E6"/>
    <w:rsid w:val="15EE136C"/>
    <w:rsid w:val="16215696"/>
    <w:rsid w:val="162C0344"/>
    <w:rsid w:val="162E3333"/>
    <w:rsid w:val="164F7F6D"/>
    <w:rsid w:val="165D61C4"/>
    <w:rsid w:val="165E068A"/>
    <w:rsid w:val="166810DA"/>
    <w:rsid w:val="16A9264F"/>
    <w:rsid w:val="16F003E9"/>
    <w:rsid w:val="16F46CB6"/>
    <w:rsid w:val="1702D3F2"/>
    <w:rsid w:val="17214315"/>
    <w:rsid w:val="174D6A64"/>
    <w:rsid w:val="180B054C"/>
    <w:rsid w:val="181B0B92"/>
    <w:rsid w:val="188D2058"/>
    <w:rsid w:val="18BA7603"/>
    <w:rsid w:val="18FA34CF"/>
    <w:rsid w:val="18FD3F86"/>
    <w:rsid w:val="190769D0"/>
    <w:rsid w:val="192000D8"/>
    <w:rsid w:val="192B740B"/>
    <w:rsid w:val="19481FB4"/>
    <w:rsid w:val="19654572"/>
    <w:rsid w:val="19CF5864"/>
    <w:rsid w:val="1A12638E"/>
    <w:rsid w:val="1A1C5725"/>
    <w:rsid w:val="1A2A7B61"/>
    <w:rsid w:val="1A514204"/>
    <w:rsid w:val="1A9A5334"/>
    <w:rsid w:val="1B2E6DC7"/>
    <w:rsid w:val="1B5316CE"/>
    <w:rsid w:val="1B5E59D2"/>
    <w:rsid w:val="1B9F7ADA"/>
    <w:rsid w:val="1BDC2DFC"/>
    <w:rsid w:val="1C2168C5"/>
    <w:rsid w:val="1C766428"/>
    <w:rsid w:val="1C921230"/>
    <w:rsid w:val="1CB626A2"/>
    <w:rsid w:val="1CC02EEB"/>
    <w:rsid w:val="1CD55E49"/>
    <w:rsid w:val="1CDB419E"/>
    <w:rsid w:val="1D2355A7"/>
    <w:rsid w:val="1D465FAC"/>
    <w:rsid w:val="1D833CB2"/>
    <w:rsid w:val="1DD50930"/>
    <w:rsid w:val="1DE811C7"/>
    <w:rsid w:val="1DF407BB"/>
    <w:rsid w:val="1E38003B"/>
    <w:rsid w:val="1EA41854"/>
    <w:rsid w:val="1EB815C1"/>
    <w:rsid w:val="1F391D93"/>
    <w:rsid w:val="1F850095"/>
    <w:rsid w:val="1FB91CD0"/>
    <w:rsid w:val="1FEB5923"/>
    <w:rsid w:val="2013006C"/>
    <w:rsid w:val="20275F86"/>
    <w:rsid w:val="20910CB1"/>
    <w:rsid w:val="20BA2550"/>
    <w:rsid w:val="20CD42FE"/>
    <w:rsid w:val="20E65374"/>
    <w:rsid w:val="21035A99"/>
    <w:rsid w:val="21282288"/>
    <w:rsid w:val="215E591E"/>
    <w:rsid w:val="21B15D7D"/>
    <w:rsid w:val="21CE5C50"/>
    <w:rsid w:val="220C62F2"/>
    <w:rsid w:val="227C2816"/>
    <w:rsid w:val="22C22FF5"/>
    <w:rsid w:val="22F03980"/>
    <w:rsid w:val="22FE2795"/>
    <w:rsid w:val="231E4B98"/>
    <w:rsid w:val="232D30A1"/>
    <w:rsid w:val="23680C07"/>
    <w:rsid w:val="236959BD"/>
    <w:rsid w:val="238B15F3"/>
    <w:rsid w:val="239E142D"/>
    <w:rsid w:val="23BD1EF4"/>
    <w:rsid w:val="23D61A36"/>
    <w:rsid w:val="23DE1FFC"/>
    <w:rsid w:val="245870DE"/>
    <w:rsid w:val="247247A7"/>
    <w:rsid w:val="2473146A"/>
    <w:rsid w:val="24990B16"/>
    <w:rsid w:val="24D0128B"/>
    <w:rsid w:val="2560279C"/>
    <w:rsid w:val="25B124FC"/>
    <w:rsid w:val="26152CC2"/>
    <w:rsid w:val="26166BCB"/>
    <w:rsid w:val="26230FC6"/>
    <w:rsid w:val="26276462"/>
    <w:rsid w:val="264D17ED"/>
    <w:rsid w:val="267C010D"/>
    <w:rsid w:val="26EE7123"/>
    <w:rsid w:val="26F60EF2"/>
    <w:rsid w:val="272C1CCE"/>
    <w:rsid w:val="27323917"/>
    <w:rsid w:val="27864A32"/>
    <w:rsid w:val="27C5366D"/>
    <w:rsid w:val="27C86EE4"/>
    <w:rsid w:val="27DD67CA"/>
    <w:rsid w:val="28690808"/>
    <w:rsid w:val="28AB4124"/>
    <w:rsid w:val="28B07E55"/>
    <w:rsid w:val="28B54AA2"/>
    <w:rsid w:val="28C77C30"/>
    <w:rsid w:val="28E1455A"/>
    <w:rsid w:val="290D04CF"/>
    <w:rsid w:val="2946251E"/>
    <w:rsid w:val="295A76BB"/>
    <w:rsid w:val="297F342E"/>
    <w:rsid w:val="29E80DDC"/>
    <w:rsid w:val="2A0F0B23"/>
    <w:rsid w:val="2A71440E"/>
    <w:rsid w:val="2A893D90"/>
    <w:rsid w:val="2A932738"/>
    <w:rsid w:val="2A9A305C"/>
    <w:rsid w:val="2A9D552B"/>
    <w:rsid w:val="2ACB1712"/>
    <w:rsid w:val="2AFE2B7E"/>
    <w:rsid w:val="2B1A73FE"/>
    <w:rsid w:val="2B26248E"/>
    <w:rsid w:val="2B3F1C6E"/>
    <w:rsid w:val="2B527EC9"/>
    <w:rsid w:val="2BB25377"/>
    <w:rsid w:val="2BDF29BF"/>
    <w:rsid w:val="2C5B2011"/>
    <w:rsid w:val="2CB23183"/>
    <w:rsid w:val="2CF00B17"/>
    <w:rsid w:val="2CF04E98"/>
    <w:rsid w:val="2D376513"/>
    <w:rsid w:val="2D3F2C8E"/>
    <w:rsid w:val="2D470923"/>
    <w:rsid w:val="2D4F3143"/>
    <w:rsid w:val="2D751FC3"/>
    <w:rsid w:val="2DC863F1"/>
    <w:rsid w:val="2DFB41DC"/>
    <w:rsid w:val="2E350033"/>
    <w:rsid w:val="2E4D2F34"/>
    <w:rsid w:val="2E5F4D48"/>
    <w:rsid w:val="2E6D6806"/>
    <w:rsid w:val="2E930D3B"/>
    <w:rsid w:val="2EA258B5"/>
    <w:rsid w:val="2EB72406"/>
    <w:rsid w:val="2F2367DE"/>
    <w:rsid w:val="2FD27D5B"/>
    <w:rsid w:val="2FDF41BB"/>
    <w:rsid w:val="2FF91044"/>
    <w:rsid w:val="305B0F66"/>
    <w:rsid w:val="306E74D6"/>
    <w:rsid w:val="30FB19DC"/>
    <w:rsid w:val="3107240D"/>
    <w:rsid w:val="31542D3B"/>
    <w:rsid w:val="315E3DF0"/>
    <w:rsid w:val="3166748C"/>
    <w:rsid w:val="31900E67"/>
    <w:rsid w:val="31EE0C0B"/>
    <w:rsid w:val="32303C08"/>
    <w:rsid w:val="324568C8"/>
    <w:rsid w:val="324F2751"/>
    <w:rsid w:val="32727037"/>
    <w:rsid w:val="32832752"/>
    <w:rsid w:val="32BF5088"/>
    <w:rsid w:val="32FE23BF"/>
    <w:rsid w:val="330E6893"/>
    <w:rsid w:val="33244DA0"/>
    <w:rsid w:val="33663E5D"/>
    <w:rsid w:val="336B3089"/>
    <w:rsid w:val="337326FC"/>
    <w:rsid w:val="33DE0CB9"/>
    <w:rsid w:val="33EC1A91"/>
    <w:rsid w:val="344F7A97"/>
    <w:rsid w:val="34680CAF"/>
    <w:rsid w:val="34AB7E73"/>
    <w:rsid w:val="34B64DFE"/>
    <w:rsid w:val="34CC2CE0"/>
    <w:rsid w:val="3511129D"/>
    <w:rsid w:val="35742CCA"/>
    <w:rsid w:val="359455FE"/>
    <w:rsid w:val="35E37771"/>
    <w:rsid w:val="36091FD3"/>
    <w:rsid w:val="369B02D7"/>
    <w:rsid w:val="36B43102"/>
    <w:rsid w:val="36CD07B0"/>
    <w:rsid w:val="36DD24D7"/>
    <w:rsid w:val="372201DB"/>
    <w:rsid w:val="373242C4"/>
    <w:rsid w:val="37340EF6"/>
    <w:rsid w:val="373E20CB"/>
    <w:rsid w:val="375C57D7"/>
    <w:rsid w:val="37CF762D"/>
    <w:rsid w:val="37DD651E"/>
    <w:rsid w:val="381A51F4"/>
    <w:rsid w:val="386C5C36"/>
    <w:rsid w:val="38BA113F"/>
    <w:rsid w:val="39362F4F"/>
    <w:rsid w:val="397347DF"/>
    <w:rsid w:val="39BB105A"/>
    <w:rsid w:val="39ED0B9E"/>
    <w:rsid w:val="3A0D03DF"/>
    <w:rsid w:val="3A135075"/>
    <w:rsid w:val="3A8424B5"/>
    <w:rsid w:val="3A9A43F1"/>
    <w:rsid w:val="3AA12DFF"/>
    <w:rsid w:val="3AB31D0C"/>
    <w:rsid w:val="3B0E5515"/>
    <w:rsid w:val="3B380971"/>
    <w:rsid w:val="3B3E48C1"/>
    <w:rsid w:val="3B4A3B53"/>
    <w:rsid w:val="3BD034C7"/>
    <w:rsid w:val="3BDA3DBC"/>
    <w:rsid w:val="3C2D3B81"/>
    <w:rsid w:val="3C2F4C37"/>
    <w:rsid w:val="3C923082"/>
    <w:rsid w:val="3CA13237"/>
    <w:rsid w:val="3CF61444"/>
    <w:rsid w:val="3CF769F7"/>
    <w:rsid w:val="3D0354C7"/>
    <w:rsid w:val="3D6D132D"/>
    <w:rsid w:val="3D7359C7"/>
    <w:rsid w:val="3D7642C9"/>
    <w:rsid w:val="3DC236A2"/>
    <w:rsid w:val="3DDA6D42"/>
    <w:rsid w:val="3DFA6BAD"/>
    <w:rsid w:val="3DFF13D1"/>
    <w:rsid w:val="3E055E2F"/>
    <w:rsid w:val="3E3A7708"/>
    <w:rsid w:val="3E644A3A"/>
    <w:rsid w:val="3E7347F4"/>
    <w:rsid w:val="3E746699"/>
    <w:rsid w:val="3EE04EC0"/>
    <w:rsid w:val="3EF83C43"/>
    <w:rsid w:val="3F01664D"/>
    <w:rsid w:val="3F03359F"/>
    <w:rsid w:val="3F175FC8"/>
    <w:rsid w:val="3F962447"/>
    <w:rsid w:val="3FD010A5"/>
    <w:rsid w:val="3FD26C28"/>
    <w:rsid w:val="402327C5"/>
    <w:rsid w:val="40727205"/>
    <w:rsid w:val="407868C4"/>
    <w:rsid w:val="40850DCD"/>
    <w:rsid w:val="41224ADA"/>
    <w:rsid w:val="412F54A5"/>
    <w:rsid w:val="416A53FD"/>
    <w:rsid w:val="419532ED"/>
    <w:rsid w:val="41AC1D9C"/>
    <w:rsid w:val="41BC3617"/>
    <w:rsid w:val="4242619A"/>
    <w:rsid w:val="424F6EDD"/>
    <w:rsid w:val="428528CF"/>
    <w:rsid w:val="428A33E5"/>
    <w:rsid w:val="42B20782"/>
    <w:rsid w:val="42DF035B"/>
    <w:rsid w:val="430A6BB3"/>
    <w:rsid w:val="431516B3"/>
    <w:rsid w:val="447177A7"/>
    <w:rsid w:val="44917C93"/>
    <w:rsid w:val="45BF4853"/>
    <w:rsid w:val="45D0122B"/>
    <w:rsid w:val="46136785"/>
    <w:rsid w:val="462E578F"/>
    <w:rsid w:val="46487CC3"/>
    <w:rsid w:val="46BB46A1"/>
    <w:rsid w:val="46D41E44"/>
    <w:rsid w:val="472D41FA"/>
    <w:rsid w:val="479A09A1"/>
    <w:rsid w:val="47AE2F53"/>
    <w:rsid w:val="47D90B69"/>
    <w:rsid w:val="48202D76"/>
    <w:rsid w:val="488A4398"/>
    <w:rsid w:val="49216A6A"/>
    <w:rsid w:val="49502142"/>
    <w:rsid w:val="496938E0"/>
    <w:rsid w:val="496B37C1"/>
    <w:rsid w:val="49882B35"/>
    <w:rsid w:val="49C26CA6"/>
    <w:rsid w:val="49C44B33"/>
    <w:rsid w:val="4A7C2A22"/>
    <w:rsid w:val="4AC94DB8"/>
    <w:rsid w:val="4AFE0DE7"/>
    <w:rsid w:val="4B104ABC"/>
    <w:rsid w:val="4B233881"/>
    <w:rsid w:val="4B255188"/>
    <w:rsid w:val="4B2E5E75"/>
    <w:rsid w:val="4B3872E6"/>
    <w:rsid w:val="4B7F05B4"/>
    <w:rsid w:val="4C140DFC"/>
    <w:rsid w:val="4C3E45A0"/>
    <w:rsid w:val="4C5604A8"/>
    <w:rsid w:val="4C6D0539"/>
    <w:rsid w:val="4C987828"/>
    <w:rsid w:val="4CA149AE"/>
    <w:rsid w:val="4D2E4BC8"/>
    <w:rsid w:val="4D3741CF"/>
    <w:rsid w:val="4DB0348E"/>
    <w:rsid w:val="4DF51404"/>
    <w:rsid w:val="4E5633F4"/>
    <w:rsid w:val="4E7740D9"/>
    <w:rsid w:val="4EAC0AFF"/>
    <w:rsid w:val="4EC2021D"/>
    <w:rsid w:val="4F001CA3"/>
    <w:rsid w:val="4FA20095"/>
    <w:rsid w:val="4FAC2061"/>
    <w:rsid w:val="50036E2B"/>
    <w:rsid w:val="50510E8E"/>
    <w:rsid w:val="50634020"/>
    <w:rsid w:val="50FD13B2"/>
    <w:rsid w:val="51282D4D"/>
    <w:rsid w:val="51327881"/>
    <w:rsid w:val="5194382F"/>
    <w:rsid w:val="519A4335"/>
    <w:rsid w:val="521B4163"/>
    <w:rsid w:val="5246628D"/>
    <w:rsid w:val="52554011"/>
    <w:rsid w:val="525C0A1C"/>
    <w:rsid w:val="5268561B"/>
    <w:rsid w:val="52D9178A"/>
    <w:rsid w:val="52FE30BB"/>
    <w:rsid w:val="5356206E"/>
    <w:rsid w:val="536E79E7"/>
    <w:rsid w:val="5375123D"/>
    <w:rsid w:val="5395369D"/>
    <w:rsid w:val="53F313A1"/>
    <w:rsid w:val="54207E6C"/>
    <w:rsid w:val="54376D27"/>
    <w:rsid w:val="54B40D35"/>
    <w:rsid w:val="54CE2507"/>
    <w:rsid w:val="55181CD2"/>
    <w:rsid w:val="55282FAE"/>
    <w:rsid w:val="55474BFE"/>
    <w:rsid w:val="555A759A"/>
    <w:rsid w:val="557837FF"/>
    <w:rsid w:val="55BB65AB"/>
    <w:rsid w:val="55D01D97"/>
    <w:rsid w:val="55E9733B"/>
    <w:rsid w:val="56311EFB"/>
    <w:rsid w:val="56745085"/>
    <w:rsid w:val="56A37ED2"/>
    <w:rsid w:val="56D951D8"/>
    <w:rsid w:val="57244B18"/>
    <w:rsid w:val="57323D7B"/>
    <w:rsid w:val="57775C20"/>
    <w:rsid w:val="577A519D"/>
    <w:rsid w:val="579345B0"/>
    <w:rsid w:val="57E553DC"/>
    <w:rsid w:val="57EF6871"/>
    <w:rsid w:val="5806770C"/>
    <w:rsid w:val="581707BE"/>
    <w:rsid w:val="58235FFE"/>
    <w:rsid w:val="58240039"/>
    <w:rsid w:val="5828231D"/>
    <w:rsid w:val="582F5FB6"/>
    <w:rsid w:val="58446A9A"/>
    <w:rsid w:val="58457702"/>
    <w:rsid w:val="58B82186"/>
    <w:rsid w:val="58DE4F52"/>
    <w:rsid w:val="58E87853"/>
    <w:rsid w:val="595A121E"/>
    <w:rsid w:val="599D777F"/>
    <w:rsid w:val="59C75644"/>
    <w:rsid w:val="5ABF2F6E"/>
    <w:rsid w:val="5AE252AD"/>
    <w:rsid w:val="5AF07FF7"/>
    <w:rsid w:val="5AF422E5"/>
    <w:rsid w:val="5B512B1F"/>
    <w:rsid w:val="5B94646D"/>
    <w:rsid w:val="5BF243F2"/>
    <w:rsid w:val="5BF26431"/>
    <w:rsid w:val="5C006D9C"/>
    <w:rsid w:val="5C01190A"/>
    <w:rsid w:val="5C1C7139"/>
    <w:rsid w:val="5C517094"/>
    <w:rsid w:val="5C8D0454"/>
    <w:rsid w:val="5D443734"/>
    <w:rsid w:val="5D573AAA"/>
    <w:rsid w:val="5DCE71C0"/>
    <w:rsid w:val="5E014018"/>
    <w:rsid w:val="5E6B7E83"/>
    <w:rsid w:val="5E780DEA"/>
    <w:rsid w:val="5E7B7D5D"/>
    <w:rsid w:val="5EB136B4"/>
    <w:rsid w:val="5EDF0BC7"/>
    <w:rsid w:val="5EE31366"/>
    <w:rsid w:val="5EFF674C"/>
    <w:rsid w:val="5F183785"/>
    <w:rsid w:val="5F631FA8"/>
    <w:rsid w:val="5FE75659"/>
    <w:rsid w:val="60843483"/>
    <w:rsid w:val="609304D5"/>
    <w:rsid w:val="618064C2"/>
    <w:rsid w:val="61943B9E"/>
    <w:rsid w:val="61CE319D"/>
    <w:rsid w:val="62B92C9E"/>
    <w:rsid w:val="62E155D8"/>
    <w:rsid w:val="635F1FDF"/>
    <w:rsid w:val="6377154E"/>
    <w:rsid w:val="63981D4D"/>
    <w:rsid w:val="63BC305C"/>
    <w:rsid w:val="64041E7F"/>
    <w:rsid w:val="64A83DA6"/>
    <w:rsid w:val="64BF14E0"/>
    <w:rsid w:val="64E67C56"/>
    <w:rsid w:val="652D5E7F"/>
    <w:rsid w:val="65507243"/>
    <w:rsid w:val="656027FF"/>
    <w:rsid w:val="65C753D5"/>
    <w:rsid w:val="660D1534"/>
    <w:rsid w:val="66210939"/>
    <w:rsid w:val="66457E51"/>
    <w:rsid w:val="6680376E"/>
    <w:rsid w:val="66824F18"/>
    <w:rsid w:val="66DD4FD8"/>
    <w:rsid w:val="66ED31EA"/>
    <w:rsid w:val="67864A7F"/>
    <w:rsid w:val="67D13F01"/>
    <w:rsid w:val="67F75E8E"/>
    <w:rsid w:val="68293C00"/>
    <w:rsid w:val="68371151"/>
    <w:rsid w:val="68660645"/>
    <w:rsid w:val="68856BDF"/>
    <w:rsid w:val="68E34B21"/>
    <w:rsid w:val="68F25BF7"/>
    <w:rsid w:val="691867A1"/>
    <w:rsid w:val="691A3243"/>
    <w:rsid w:val="69221EE6"/>
    <w:rsid w:val="69696E4E"/>
    <w:rsid w:val="696C42BB"/>
    <w:rsid w:val="697A3A8B"/>
    <w:rsid w:val="698A6B0F"/>
    <w:rsid w:val="69CC14E2"/>
    <w:rsid w:val="69CD6393"/>
    <w:rsid w:val="69EC4C9C"/>
    <w:rsid w:val="69F1784C"/>
    <w:rsid w:val="6A085BC1"/>
    <w:rsid w:val="6A1F7A9F"/>
    <w:rsid w:val="6A38427B"/>
    <w:rsid w:val="6A782EAA"/>
    <w:rsid w:val="6A7D12F1"/>
    <w:rsid w:val="6A8D51AE"/>
    <w:rsid w:val="6AD3150D"/>
    <w:rsid w:val="6B435052"/>
    <w:rsid w:val="6B5F24B5"/>
    <w:rsid w:val="6B704279"/>
    <w:rsid w:val="6BE82C6E"/>
    <w:rsid w:val="6BEC58FB"/>
    <w:rsid w:val="6C085613"/>
    <w:rsid w:val="6C667711"/>
    <w:rsid w:val="6C6E489D"/>
    <w:rsid w:val="6C79584D"/>
    <w:rsid w:val="6CDB746B"/>
    <w:rsid w:val="6D020EA1"/>
    <w:rsid w:val="6D4A3B5E"/>
    <w:rsid w:val="6D777815"/>
    <w:rsid w:val="6DC620EB"/>
    <w:rsid w:val="6E0F1211"/>
    <w:rsid w:val="6E4F2ED8"/>
    <w:rsid w:val="6E732CEA"/>
    <w:rsid w:val="6EF00E07"/>
    <w:rsid w:val="6F596421"/>
    <w:rsid w:val="6F6B7D6A"/>
    <w:rsid w:val="6FA05E81"/>
    <w:rsid w:val="6FB30B76"/>
    <w:rsid w:val="6FBD0858"/>
    <w:rsid w:val="6FDF2FEB"/>
    <w:rsid w:val="701F11C3"/>
    <w:rsid w:val="70533FD2"/>
    <w:rsid w:val="708C3687"/>
    <w:rsid w:val="709241E9"/>
    <w:rsid w:val="70F825BD"/>
    <w:rsid w:val="710C7745"/>
    <w:rsid w:val="71615427"/>
    <w:rsid w:val="72367EEE"/>
    <w:rsid w:val="724C04FD"/>
    <w:rsid w:val="725306B2"/>
    <w:rsid w:val="72E1752D"/>
    <w:rsid w:val="73725529"/>
    <w:rsid w:val="73A015C2"/>
    <w:rsid w:val="73A913CF"/>
    <w:rsid w:val="73EB1497"/>
    <w:rsid w:val="74000A47"/>
    <w:rsid w:val="74484526"/>
    <w:rsid w:val="745B45EA"/>
    <w:rsid w:val="74885606"/>
    <w:rsid w:val="748B171E"/>
    <w:rsid w:val="74967A7F"/>
    <w:rsid w:val="74BB6271"/>
    <w:rsid w:val="751115BE"/>
    <w:rsid w:val="751F2214"/>
    <w:rsid w:val="75580F8A"/>
    <w:rsid w:val="75740E00"/>
    <w:rsid w:val="757F162D"/>
    <w:rsid w:val="75BE31B8"/>
    <w:rsid w:val="75CC2D4E"/>
    <w:rsid w:val="75F71430"/>
    <w:rsid w:val="763A080C"/>
    <w:rsid w:val="76520020"/>
    <w:rsid w:val="76641507"/>
    <w:rsid w:val="76EB5B39"/>
    <w:rsid w:val="76ED2AF4"/>
    <w:rsid w:val="771478EB"/>
    <w:rsid w:val="773E5387"/>
    <w:rsid w:val="775A5AE2"/>
    <w:rsid w:val="776F4F23"/>
    <w:rsid w:val="77E359DC"/>
    <w:rsid w:val="78156E78"/>
    <w:rsid w:val="782D5EAF"/>
    <w:rsid w:val="7849242F"/>
    <w:rsid w:val="7850371B"/>
    <w:rsid w:val="789F1175"/>
    <w:rsid w:val="78A515AE"/>
    <w:rsid w:val="78BE1657"/>
    <w:rsid w:val="790B385D"/>
    <w:rsid w:val="7931734A"/>
    <w:rsid w:val="793C27DB"/>
    <w:rsid w:val="79881C57"/>
    <w:rsid w:val="79AF2036"/>
    <w:rsid w:val="79BD46A6"/>
    <w:rsid w:val="7AC25FA0"/>
    <w:rsid w:val="7ADB38D4"/>
    <w:rsid w:val="7B2044F7"/>
    <w:rsid w:val="7B310E5D"/>
    <w:rsid w:val="7B3D5A4B"/>
    <w:rsid w:val="7B7A5E29"/>
    <w:rsid w:val="7BC84C59"/>
    <w:rsid w:val="7BE22FEF"/>
    <w:rsid w:val="7BF13877"/>
    <w:rsid w:val="7C01401C"/>
    <w:rsid w:val="7C587C3D"/>
    <w:rsid w:val="7C782645"/>
    <w:rsid w:val="7CB33935"/>
    <w:rsid w:val="7CCD3892"/>
    <w:rsid w:val="7CF20ECE"/>
    <w:rsid w:val="7D3A0B62"/>
    <w:rsid w:val="7D5866E9"/>
    <w:rsid w:val="7D6B7D13"/>
    <w:rsid w:val="7D7A3E7D"/>
    <w:rsid w:val="7DBE1A3A"/>
    <w:rsid w:val="7DD2691C"/>
    <w:rsid w:val="7E333FDB"/>
    <w:rsid w:val="7E3563A1"/>
    <w:rsid w:val="7E3842C6"/>
    <w:rsid w:val="7E654AE8"/>
    <w:rsid w:val="7E735DA8"/>
    <w:rsid w:val="7E753CCA"/>
    <w:rsid w:val="7E9326F9"/>
    <w:rsid w:val="7E9D42A8"/>
    <w:rsid w:val="7ECA307F"/>
    <w:rsid w:val="7EE10C39"/>
    <w:rsid w:val="7EE20452"/>
    <w:rsid w:val="7F0A79A1"/>
    <w:rsid w:val="7F0E6A25"/>
    <w:rsid w:val="7F395D9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rPr>
  </w:style>
  <w:style w:type="paragraph" w:styleId="4">
    <w:name w:val="heading 3"/>
    <w:basedOn w:val="3"/>
    <w:next w:val="1"/>
    <w:link w:val="107"/>
    <w:qFormat/>
    <w:uiPriority w:val="0"/>
    <w:pPr>
      <w:numPr>
        <w:ilvl w:val="2"/>
      </w:numPr>
      <w:spacing w:before="120"/>
      <w:outlineLvl w:val="2"/>
    </w:p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60"/>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1.xml"/><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'[Coverage enhancement仿真结果.xlsx]101e新增仿真结果'!$A$78</c:f>
              <c:strCache>
                <c:ptCount val="1"/>
                <c:pt idx="0">
                  <c:v>Rma（1T2R）+ 4 Repetitions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enhancement仿真结果.xlsx]101e新增仿真结果'!$B$78:$L$78</c:f>
              <c:numCache>
                <c:formatCode>General</c:formatCode>
                <c:ptCount val="11"/>
                <c:pt idx="2">
                  <c:v>0.73739</c:v>
                </c:pt>
                <c:pt idx="3">
                  <c:v>0.53363</c:v>
                </c:pt>
                <c:pt idx="4">
                  <c:v>0.34267</c:v>
                </c:pt>
                <c:pt idx="5">
                  <c:v>0.19856</c:v>
                </c:pt>
                <c:pt idx="6">
                  <c:v>0.10408</c:v>
                </c:pt>
                <c:pt idx="7">
                  <c:v>0.05004</c:v>
                </c:pt>
              </c:numCache>
            </c:numRef>
          </c:val>
          <c:smooth val="0"/>
        </c:ser>
        <c:ser>
          <c:idx val="1"/>
          <c:order val="1"/>
          <c:tx>
            <c:strRef>
              <c:f>'[Coverage enhancement仿真结果.xlsx]101e新增仿真结果'!$A$79</c:f>
              <c:strCache>
                <c:ptCount val="1"/>
                <c:pt idx="0">
                  <c:v>Rma（1T4R）+ 4 Repetitions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enhancement仿真结果.xlsx]101e新增仿真结果'!$B$79:$L$79</c:f>
              <c:numCache>
                <c:formatCode>General</c:formatCode>
                <c:ptCount val="11"/>
                <c:pt idx="0">
                  <c:v>0.81185</c:v>
                </c:pt>
                <c:pt idx="1">
                  <c:v>0.56325</c:v>
                </c:pt>
                <c:pt idx="2">
                  <c:v>0.29023</c:v>
                </c:pt>
                <c:pt idx="3">
                  <c:v>0.11129</c:v>
                </c:pt>
                <c:pt idx="4">
                  <c:v>0.03403</c:v>
                </c:pt>
                <c:pt idx="5">
                  <c:v>0.00841</c:v>
                </c:pt>
                <c:pt idx="6">
                  <c:v>0.0016</c:v>
                </c:pt>
                <c:pt idx="7">
                  <c:v>0.0004</c:v>
                </c:pt>
              </c:numCache>
            </c:numRef>
          </c:val>
          <c:smooth val="0"/>
        </c:ser>
        <c:ser>
          <c:idx val="2"/>
          <c:order val="2"/>
          <c:tx>
            <c:strRef>
              <c:f>'[Coverage enhancement仿真结果.xlsx]101e新增仿真结果'!$A$80</c:f>
              <c:strCache>
                <c:ptCount val="1"/>
                <c:pt idx="0">
                  <c:v>Long distance Rma（1T2R）+ 4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enhancement仿真结果.xlsx]101e新增仿真结果'!$B$80:$L$80</c:f>
              <c:numCache>
                <c:formatCode>General</c:formatCode>
                <c:ptCount val="11"/>
                <c:pt idx="2">
                  <c:v>0.69576</c:v>
                </c:pt>
                <c:pt idx="3">
                  <c:v>0.34548</c:v>
                </c:pt>
                <c:pt idx="4">
                  <c:v>0.10208</c:v>
                </c:pt>
                <c:pt idx="5">
                  <c:v>0.02402</c:v>
                </c:pt>
                <c:pt idx="6">
                  <c:v>0.0048</c:v>
                </c:pt>
                <c:pt idx="7">
                  <c:v>0.0008</c:v>
                </c:pt>
              </c:numCache>
            </c:numRef>
          </c:val>
          <c:smooth val="0"/>
        </c:ser>
        <c:ser>
          <c:idx val="3"/>
          <c:order val="3"/>
          <c:tx>
            <c:strRef>
              <c:f>'[Coverage enhancement仿真结果.xlsx]101e新增仿真结果'!$A$81</c:f>
              <c:strCache>
                <c:ptCount val="1"/>
                <c:pt idx="0">
                  <c:v>Long distance Rma（1T4R）+ 4 Repetitions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enhancement仿真结果.xlsx]101e新增仿真结果'!$B$81:$L$81</c:f>
              <c:numCache>
                <c:formatCode>General</c:formatCode>
                <c:ptCount val="11"/>
                <c:pt idx="0">
                  <c:v>0.88511</c:v>
                </c:pt>
                <c:pt idx="1">
                  <c:v>0.5008</c:v>
                </c:pt>
                <c:pt idx="2">
                  <c:v>0.1253</c:v>
                </c:pt>
                <c:pt idx="3">
                  <c:v>0.01441</c:v>
                </c:pt>
                <c:pt idx="4">
                  <c:v>0.0008</c:v>
                </c:pt>
                <c:pt idx="5">
                  <c:v>0</c:v>
                </c:pt>
              </c:numCache>
            </c:numRef>
          </c:val>
          <c:smooth val="0"/>
        </c:ser>
        <c:ser>
          <c:idx val="4"/>
          <c:order val="4"/>
          <c:tx>
            <c:strRef>
              <c:f>'[Coverage enhancement仿真结果.xlsx]101e新增仿真结果'!$A$82</c:f>
              <c:strCache>
                <c:ptCount val="1"/>
                <c:pt idx="0">
                  <c:v>Rma（1T2R）</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enhancement仿真结果.xlsx]101e新增仿真结果'!$B$82:$L$82</c:f>
              <c:numCache>
                <c:formatCode>General</c:formatCode>
                <c:ptCount val="11"/>
                <c:pt idx="4">
                  <c:v>0.8978</c:v>
                </c:pt>
                <c:pt idx="5">
                  <c:v>0.77956</c:v>
                </c:pt>
                <c:pt idx="6">
                  <c:v>0.61864</c:v>
                </c:pt>
                <c:pt idx="7">
                  <c:v>0.44549</c:v>
                </c:pt>
                <c:pt idx="8">
                  <c:v>0.3022</c:v>
                </c:pt>
                <c:pt idx="9">
                  <c:v>0.18517</c:v>
                </c:pt>
                <c:pt idx="10">
                  <c:v>0.10661</c:v>
                </c:pt>
              </c:numCache>
            </c:numRef>
          </c:val>
          <c:smooth val="0"/>
        </c:ser>
        <c:ser>
          <c:idx val="5"/>
          <c:order val="5"/>
          <c:tx>
            <c:strRef>
              <c:f>'[Coverage enhancement仿真结果.xlsx]101e新增仿真结果'!$A$83</c:f>
              <c:strCache>
                <c:ptCount val="1"/>
                <c:pt idx="0">
                  <c:v>Rma（1T4R）</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enhancement仿真结果.xlsx]101e新增仿真结果'!$B$83:$L$83</c:f>
              <c:numCache>
                <c:formatCode>General</c:formatCode>
                <c:ptCount val="11"/>
                <c:pt idx="4">
                  <c:v>0.5984</c:v>
                </c:pt>
                <c:pt idx="5">
                  <c:v>0.35812</c:v>
                </c:pt>
                <c:pt idx="6">
                  <c:v>0.18377</c:v>
                </c:pt>
                <c:pt idx="7">
                  <c:v>0.08076</c:v>
                </c:pt>
                <c:pt idx="8">
                  <c:v>0.03327</c:v>
                </c:pt>
              </c:numCache>
            </c:numRef>
          </c:val>
          <c:smooth val="0"/>
        </c:ser>
        <c:ser>
          <c:idx val="6"/>
          <c:order val="6"/>
          <c:tx>
            <c:strRef>
              <c:f>'[Coverage enhancement仿真结果.xlsx]101e新增仿真结果'!$A$84</c:f>
              <c:strCache>
                <c:ptCount val="1"/>
                <c:pt idx="0">
                  <c:v>Long distance Rma（1T2R）</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enhancement仿真结果.xlsx]101e新增仿真结果'!$B$84:$L$84</c:f>
              <c:numCache>
                <c:formatCode>General</c:formatCode>
                <c:ptCount val="11"/>
                <c:pt idx="4">
                  <c:v>0.95711</c:v>
                </c:pt>
                <c:pt idx="5">
                  <c:v>0.79178</c:v>
                </c:pt>
                <c:pt idx="6">
                  <c:v>0.47275</c:v>
                </c:pt>
                <c:pt idx="7">
                  <c:v>0.20541</c:v>
                </c:pt>
                <c:pt idx="8">
                  <c:v>0.06112</c:v>
                </c:pt>
                <c:pt idx="9">
                  <c:v>0.01182</c:v>
                </c:pt>
                <c:pt idx="10">
                  <c:v>0.00261</c:v>
                </c:pt>
              </c:numCache>
            </c:numRef>
          </c:val>
          <c:smooth val="0"/>
        </c:ser>
        <c:ser>
          <c:idx val="7"/>
          <c:order val="7"/>
          <c:tx>
            <c:strRef>
              <c:f>'[Coverage enhancement仿真结果.xlsx]101e新增仿真结果'!$A$85</c:f>
              <c:strCache>
                <c:ptCount val="1"/>
                <c:pt idx="0">
                  <c:v>Long distance Rma（1T4R）</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enhancement仿真结果.xlsx]101e新增仿真结果'!$B$77:$L$77</c:f>
              <c:numCache>
                <c:formatCode>General</c:formatCode>
                <c:ptCount val="11"/>
                <c:pt idx="0">
                  <c:v>-18</c:v>
                </c:pt>
                <c:pt idx="1">
                  <c:v>-16.5</c:v>
                </c:pt>
                <c:pt idx="2">
                  <c:v>-15</c:v>
                </c:pt>
                <c:pt idx="3">
                  <c:v>-13.5</c:v>
                </c:pt>
                <c:pt idx="4">
                  <c:v>-12</c:v>
                </c:pt>
                <c:pt idx="5">
                  <c:v>-10.5</c:v>
                </c:pt>
                <c:pt idx="6">
                  <c:v>-9</c:v>
                </c:pt>
                <c:pt idx="7">
                  <c:v>-7.5</c:v>
                </c:pt>
                <c:pt idx="8">
                  <c:v>-6</c:v>
                </c:pt>
                <c:pt idx="9">
                  <c:v>-4.5</c:v>
                </c:pt>
                <c:pt idx="10">
                  <c:v>-3</c:v>
                </c:pt>
              </c:numCache>
            </c:numRef>
          </c:cat>
          <c:val>
            <c:numRef>
              <c:f>'[Coverage enhancement仿真结果.xlsx]101e新增仿真结果'!$B$85:$L$85</c:f>
              <c:numCache>
                <c:formatCode>General</c:formatCode>
                <c:ptCount val="11"/>
                <c:pt idx="4">
                  <c:v>0.55852</c:v>
                </c:pt>
                <c:pt idx="5">
                  <c:v>0.18277</c:v>
                </c:pt>
                <c:pt idx="6">
                  <c:v>0.03126</c:v>
                </c:pt>
                <c:pt idx="7">
                  <c:v>0.00401</c:v>
                </c:pt>
                <c:pt idx="8">
                  <c:v>0.0006</c:v>
                </c:pt>
                <c:pt idx="9">
                  <c:v>0</c:v>
                </c:pt>
              </c:numCache>
            </c:numRef>
          </c:val>
          <c:smooth val="0"/>
        </c:ser>
        <c:dLbls>
          <c:showLegendKey val="0"/>
          <c:showVal val="0"/>
          <c:showCatName val="0"/>
          <c:showSerName val="0"/>
          <c:showPercent val="0"/>
          <c:showBubbleSize val="0"/>
        </c:dLbls>
        <c:marker val="1"/>
        <c:smooth val="0"/>
        <c:axId val="961155449"/>
        <c:axId val="145941939"/>
      </c:lineChart>
      <c:catAx>
        <c:axId val="96115544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5941939"/>
        <c:crossesAt val="0"/>
        <c:auto val="1"/>
        <c:lblAlgn val="ctr"/>
        <c:lblOffset val="100"/>
        <c:noMultiLvlLbl val="0"/>
      </c:catAx>
      <c:valAx>
        <c:axId val="14594193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115544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2020-08-07T03:50:21Z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